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ascii="方正小标宋_GBK" w:hAnsi="黑体" w:eastAsia="方正小标宋_GBK"/>
          <w:sz w:val="44"/>
          <w:szCs w:val="44"/>
        </w:rPr>
      </w:pPr>
      <w:r>
        <w:rPr>
          <w:rFonts w:hint="eastAsia" w:ascii="方正小标宋_GBK" w:hAnsi="黑体" w:eastAsia="方正小标宋_GBK"/>
          <w:sz w:val="44"/>
          <w:szCs w:val="44"/>
        </w:rPr>
        <w:t>重庆市中医骨科医院</w:t>
      </w:r>
    </w:p>
    <w:p>
      <w:pPr>
        <w:spacing w:line="500" w:lineRule="exact"/>
        <w:jc w:val="center"/>
        <w:outlineLvl w:val="0"/>
        <w:rPr>
          <w:rFonts w:ascii="方正小标宋_GBK" w:hAnsi="黑体" w:eastAsia="方正小标宋_GBK"/>
          <w:sz w:val="44"/>
          <w:szCs w:val="44"/>
        </w:rPr>
      </w:pPr>
      <w:r>
        <w:rPr>
          <w:rFonts w:hint="eastAsia" w:ascii="方正小标宋_GBK" w:hAnsi="黑体" w:eastAsia="方正小标宋_GBK"/>
          <w:sz w:val="44"/>
          <w:szCs w:val="44"/>
        </w:rPr>
        <w:t>污水处理设施运营维护服务比选公告</w:t>
      </w:r>
    </w:p>
    <w:p>
      <w:pPr>
        <w:spacing w:line="500" w:lineRule="exact"/>
        <w:jc w:val="center"/>
        <w:outlineLvl w:val="0"/>
        <w:rPr>
          <w:rFonts w:ascii="黑体" w:hAnsi="黑体" w:eastAsia="黑体" w:cs="Times New Roman"/>
          <w:b/>
          <w:sz w:val="44"/>
          <w:szCs w:val="44"/>
        </w:rPr>
      </w:pPr>
    </w:p>
    <w:p>
      <w:pPr>
        <w:spacing w:line="560" w:lineRule="exact"/>
        <w:ind w:firstLine="560" w:firstLineChars="200"/>
        <w:rPr>
          <w:rFonts w:ascii="方正仿宋_GBK" w:eastAsia="方正仿宋_GBK" w:cs="Times New Roman"/>
          <w:color w:val="FF0000"/>
          <w:sz w:val="28"/>
          <w:szCs w:val="28"/>
        </w:rPr>
      </w:pPr>
      <w:r>
        <w:rPr>
          <w:rFonts w:hint="eastAsia" w:ascii="方正仿宋_GBK" w:hAnsi="宋体" w:eastAsia="方正仿宋_GBK" w:cs="Times New Roman"/>
          <w:sz w:val="28"/>
          <w:szCs w:val="28"/>
        </w:rPr>
        <w:t>重庆市中医骨科医院较场口院区位于渝中区新华路4</w:t>
      </w:r>
      <w:r>
        <w:rPr>
          <w:rFonts w:ascii="方正仿宋_GBK" w:hAnsi="宋体" w:eastAsia="方正仿宋_GBK" w:cs="Times New Roman"/>
          <w:sz w:val="28"/>
          <w:szCs w:val="28"/>
        </w:rPr>
        <w:t>89</w:t>
      </w:r>
      <w:r>
        <w:rPr>
          <w:rFonts w:hint="eastAsia" w:ascii="方正仿宋_GBK" w:hAnsi="宋体" w:eastAsia="方正仿宋_GBK" w:cs="Times New Roman"/>
          <w:sz w:val="28"/>
          <w:szCs w:val="28"/>
        </w:rPr>
        <w:t>号、储奇门院区位于渝中区解放西路9号，现拟对上述两处污水处理设施运营维护服务进行比选采购</w:t>
      </w:r>
      <w:r>
        <w:rPr>
          <w:rFonts w:hint="eastAsia" w:ascii="方正仿宋_GBK" w:eastAsia="方正仿宋_GBK"/>
          <w:sz w:val="28"/>
          <w:szCs w:val="28"/>
        </w:rPr>
        <w:t>，</w:t>
      </w:r>
      <w:r>
        <w:rPr>
          <w:rFonts w:hint="eastAsia" w:ascii="方正仿宋_GBK" w:hAnsi="宋体" w:eastAsia="方正仿宋_GBK" w:cs="Times New Roman"/>
          <w:sz w:val="28"/>
          <w:szCs w:val="28"/>
        </w:rPr>
        <w:t>欢迎有资格的竞标人前来投标比选。</w:t>
      </w:r>
    </w:p>
    <w:p>
      <w:pPr>
        <w:spacing w:before="120" w:beforeLines="50" w:after="120" w:afterLines="50" w:line="500" w:lineRule="exact"/>
        <w:ind w:firstLine="562" w:firstLineChars="200"/>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一、项目内容</w:t>
      </w:r>
    </w:p>
    <w:tbl>
      <w:tblPr>
        <w:tblStyle w:val="10"/>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387" w:type="dxa"/>
            <w:vAlign w:val="center"/>
          </w:tcPr>
          <w:p>
            <w:pPr>
              <w:spacing w:line="500" w:lineRule="exact"/>
              <w:jc w:val="center"/>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名称及内容</w:t>
            </w:r>
          </w:p>
        </w:tc>
        <w:tc>
          <w:tcPr>
            <w:tcW w:w="3119" w:type="dxa"/>
            <w:vAlign w:val="center"/>
          </w:tcPr>
          <w:p>
            <w:pPr>
              <w:spacing w:line="500" w:lineRule="exact"/>
              <w:jc w:val="center"/>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投标最高限价（万元</w:t>
            </w:r>
            <w:r>
              <w:rPr>
                <w:rFonts w:hint="eastAsia" w:ascii="方正仿宋_GBK" w:hAnsi="宋体" w:eastAsia="方正仿宋_GBK" w:cs="Times New Roman"/>
                <w:color w:val="000000"/>
                <w:sz w:val="28"/>
                <w:szCs w:val="20"/>
                <w:lang w:val="en-US" w:eastAsia="zh-CN"/>
              </w:rPr>
              <w:t>/年</w:t>
            </w:r>
            <w:bookmarkStart w:id="9" w:name="_GoBack"/>
            <w:bookmarkEnd w:id="9"/>
            <w:r>
              <w:rPr>
                <w:rFonts w:hint="eastAsia" w:ascii="方正仿宋_GBK" w:hAnsi="宋体" w:eastAsia="方正仿宋_GBK" w:cs="Times New Roman"/>
                <w:color w:val="000000"/>
                <w:sz w:val="2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387" w:type="dxa"/>
            <w:vAlign w:val="center"/>
          </w:tcPr>
          <w:p>
            <w:pPr>
              <w:spacing w:line="500" w:lineRule="exact"/>
              <w:jc w:val="center"/>
              <w:outlineLvl w:val="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sz w:val="28"/>
                <w:szCs w:val="28"/>
              </w:rPr>
              <w:t>重庆市中医骨科医院污水处理设施运营维护服务</w:t>
            </w:r>
          </w:p>
        </w:tc>
        <w:tc>
          <w:tcPr>
            <w:tcW w:w="3119" w:type="dxa"/>
            <w:vAlign w:val="center"/>
          </w:tcPr>
          <w:p>
            <w:pPr>
              <w:spacing w:line="500" w:lineRule="exact"/>
              <w:jc w:val="center"/>
              <w:outlineLvl w:val="0"/>
              <w:rPr>
                <w:rFonts w:ascii="方正仿宋_GBK" w:hAnsi="宋体" w:eastAsia="方正仿宋_GBK" w:cs="Times New Roman"/>
                <w:sz w:val="28"/>
                <w:szCs w:val="28"/>
              </w:rPr>
            </w:pPr>
            <w:r>
              <w:rPr>
                <w:rFonts w:hint="eastAsia" w:ascii="方正仿宋_GBK" w:hAnsi="宋体" w:eastAsia="方正仿宋_GBK" w:cs="Times New Roman"/>
                <w:sz w:val="28"/>
                <w:szCs w:val="28"/>
              </w:rPr>
              <w:t>2</w:t>
            </w:r>
            <w:r>
              <w:rPr>
                <w:rFonts w:ascii="方正仿宋_GBK" w:hAnsi="宋体" w:eastAsia="方正仿宋_GBK" w:cs="Times New Roman"/>
                <w:sz w:val="28"/>
                <w:szCs w:val="28"/>
              </w:rPr>
              <w:t>6</w:t>
            </w:r>
          </w:p>
        </w:tc>
      </w:tr>
    </w:tbl>
    <w:p>
      <w:pPr>
        <w:spacing w:before="120" w:beforeLines="50" w:line="500" w:lineRule="exact"/>
        <w:ind w:firstLine="562" w:firstLineChars="200"/>
        <w:jc w:val="left"/>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二、项目概况、招标范围与要求</w:t>
      </w:r>
    </w:p>
    <w:p>
      <w:pPr>
        <w:spacing w:line="560" w:lineRule="exact"/>
        <w:ind w:firstLine="560" w:firstLineChars="200"/>
        <w:jc w:val="left"/>
        <w:outlineLvl w:val="0"/>
        <w:rPr>
          <w:rFonts w:ascii="方正仿宋_GBK" w:eastAsia="方正仿宋_GBK"/>
          <w:sz w:val="28"/>
          <w:szCs w:val="28"/>
        </w:rPr>
      </w:pPr>
      <w:r>
        <w:rPr>
          <w:rFonts w:hint="eastAsia" w:ascii="方正仿宋_GBK" w:hAnsi="宋体" w:eastAsia="方正仿宋_GBK" w:cs="宋体"/>
          <w:color w:val="000000" w:themeColor="text1"/>
          <w:kern w:val="0"/>
          <w:sz w:val="28"/>
          <w:szCs w:val="28"/>
          <w14:textFill>
            <w14:solidFill>
              <w14:schemeClr w14:val="tx1"/>
            </w14:solidFill>
          </w14:textFill>
        </w:rPr>
        <w:t>1、</w:t>
      </w:r>
      <w:r>
        <w:rPr>
          <w:rFonts w:hint="eastAsia" w:ascii="方正仿宋_GBK" w:hAnsi="宋体" w:eastAsia="方正仿宋_GBK" w:cs="Times New Roman"/>
          <w:color w:val="000000"/>
          <w:sz w:val="28"/>
          <w:szCs w:val="20"/>
        </w:rPr>
        <w:t>项目地点：</w:t>
      </w:r>
      <w:r>
        <w:rPr>
          <w:rFonts w:hint="eastAsia" w:ascii="方正仿宋_GBK" w:eastAsia="方正仿宋_GBK"/>
          <w:sz w:val="28"/>
          <w:szCs w:val="28"/>
        </w:rPr>
        <w:t>重庆市</w:t>
      </w:r>
      <w:r>
        <w:rPr>
          <w:rFonts w:hint="eastAsia" w:ascii="方正仿宋_GBK" w:hAnsi="宋体" w:eastAsia="方正仿宋_GBK" w:cs="Times New Roman"/>
          <w:sz w:val="28"/>
          <w:szCs w:val="28"/>
        </w:rPr>
        <w:t>新华路4</w:t>
      </w:r>
      <w:r>
        <w:rPr>
          <w:rFonts w:ascii="方正仿宋_GBK" w:hAnsi="宋体" w:eastAsia="方正仿宋_GBK" w:cs="Times New Roman"/>
          <w:sz w:val="28"/>
          <w:szCs w:val="28"/>
        </w:rPr>
        <w:t>89</w:t>
      </w:r>
      <w:r>
        <w:rPr>
          <w:rFonts w:hint="eastAsia" w:ascii="方正仿宋_GBK" w:hAnsi="宋体" w:eastAsia="方正仿宋_GBK" w:cs="Times New Roman"/>
          <w:sz w:val="28"/>
          <w:szCs w:val="28"/>
        </w:rPr>
        <w:t>号、</w:t>
      </w:r>
      <w:r>
        <w:rPr>
          <w:rFonts w:hint="eastAsia" w:ascii="方正仿宋_GBK" w:eastAsia="方正仿宋_GBK"/>
          <w:sz w:val="28"/>
          <w:szCs w:val="28"/>
        </w:rPr>
        <w:t>渝中区解放西路9号</w:t>
      </w:r>
    </w:p>
    <w:p>
      <w:pPr>
        <w:spacing w:line="560" w:lineRule="exact"/>
        <w:ind w:firstLine="560" w:firstLineChars="200"/>
        <w:jc w:val="left"/>
        <w:outlineLvl w:val="0"/>
        <w:rPr>
          <w:rFonts w:ascii="方正仿宋_GBK" w:hAnsi="宋体" w:eastAsia="方正仿宋_GBK" w:cs="宋体"/>
          <w:snapToGrid w:val="0"/>
          <w:color w:val="000000" w:themeColor="text1"/>
          <w:kern w:val="0"/>
          <w:sz w:val="28"/>
          <w:szCs w:val="28"/>
          <w14:textFill>
            <w14:solidFill>
              <w14:schemeClr w14:val="tx1"/>
            </w14:solidFill>
          </w14:textFill>
        </w:rPr>
      </w:pPr>
      <w:r>
        <w:rPr>
          <w:rFonts w:hint="eastAsia" w:ascii="方正仿宋_GBK" w:eastAsia="方正仿宋_GBK"/>
          <w:sz w:val="28"/>
          <w:szCs w:val="28"/>
        </w:rPr>
        <w:t>2、服务期限：二年（合同一年一签），储奇门院区搬迁后需重新招标，合同自动终止。</w:t>
      </w:r>
    </w:p>
    <w:p>
      <w:pPr>
        <w:spacing w:line="560" w:lineRule="exact"/>
        <w:ind w:firstLine="560" w:firstLineChars="200"/>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3、招标范围：</w:t>
      </w:r>
    </w:p>
    <w:p>
      <w:pPr>
        <w:spacing w:line="560" w:lineRule="exact"/>
        <w:ind w:firstLine="560" w:firstLineChars="200"/>
        <w:outlineLvl w:val="0"/>
        <w:rPr>
          <w:rFonts w:ascii="方正仿宋_GBK" w:hAnsi="宋体" w:eastAsia="方正仿宋_GBK" w:cs="Times New Roman"/>
          <w:sz w:val="28"/>
          <w:szCs w:val="28"/>
        </w:rPr>
      </w:pPr>
      <w:r>
        <w:rPr>
          <w:rFonts w:hint="eastAsia" w:ascii="方正仿宋_GBK" w:hAnsi="宋体" w:eastAsia="方正仿宋_GBK" w:cs="Times New Roman"/>
          <w:color w:val="000000"/>
          <w:sz w:val="28"/>
          <w:szCs w:val="20"/>
        </w:rPr>
        <w:t>1、</w:t>
      </w:r>
      <w:r>
        <w:rPr>
          <w:rFonts w:hint="eastAsia" w:ascii="方正仿宋_GBK" w:hAnsi="宋体" w:eastAsia="方正仿宋_GBK" w:cs="Times New Roman"/>
          <w:sz w:val="28"/>
          <w:szCs w:val="28"/>
        </w:rPr>
        <w:t>重庆市中医骨科医院污水处理设施运营维护服务（详细的运营、商务要求见附件1）</w:t>
      </w:r>
    </w:p>
    <w:p>
      <w:pPr>
        <w:spacing w:line="560" w:lineRule="exact"/>
        <w:ind w:firstLine="560" w:firstLineChars="200"/>
        <w:outlineLvl w:val="0"/>
        <w:rPr>
          <w:rFonts w:ascii="方正仿宋_GBK" w:hAnsi="宋体" w:eastAsia="方正仿宋_GBK" w:cs="Times New Roman"/>
          <w:color w:val="000000"/>
          <w:sz w:val="28"/>
          <w:szCs w:val="20"/>
        </w:rPr>
      </w:pPr>
      <w:r>
        <w:rPr>
          <w:rFonts w:ascii="方正仿宋_GBK" w:hAnsi="宋体" w:eastAsia="方正仿宋_GBK" w:cs="Times New Roman"/>
          <w:sz w:val="28"/>
          <w:szCs w:val="28"/>
        </w:rPr>
        <w:t>2</w:t>
      </w:r>
      <w:r>
        <w:rPr>
          <w:rFonts w:hint="eastAsia" w:ascii="方正仿宋_GBK" w:hAnsi="宋体" w:eastAsia="方正仿宋_GBK" w:cs="Times New Roman"/>
          <w:sz w:val="28"/>
          <w:szCs w:val="28"/>
        </w:rPr>
        <w:t>、污水、废气检测委托代办并支付检测费用（详细要求见附件</w:t>
      </w:r>
      <w:r>
        <w:rPr>
          <w:rFonts w:ascii="方正仿宋_GBK" w:hAnsi="宋体" w:eastAsia="方正仿宋_GBK" w:cs="Times New Roman"/>
          <w:sz w:val="28"/>
          <w:szCs w:val="28"/>
        </w:rPr>
        <w:t>2</w:t>
      </w:r>
      <w:r>
        <w:rPr>
          <w:rFonts w:hint="eastAsia" w:ascii="方正仿宋_GBK" w:hAnsi="宋体" w:eastAsia="方正仿宋_GBK" w:cs="Times New Roman"/>
          <w:sz w:val="28"/>
          <w:szCs w:val="28"/>
        </w:rPr>
        <w:t>）</w:t>
      </w:r>
    </w:p>
    <w:p>
      <w:pPr>
        <w:spacing w:line="560" w:lineRule="exact"/>
        <w:ind w:firstLine="562" w:firstLineChars="200"/>
        <w:outlineLvl w:val="0"/>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三、投标人资格要求</w:t>
      </w:r>
    </w:p>
    <w:p>
      <w:pPr>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（一）基本资格条件</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1、具有独立承担民事责任的能力；</w:t>
      </w:r>
    </w:p>
    <w:p>
      <w:pPr>
        <w:snapToGrid w:val="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hint="eastAsia" w:ascii="方正仿宋_GBK" w:hAnsi="宋体" w:eastAsia="方正仿宋_GBK"/>
          <w:color w:val="000000" w:themeColor="text1"/>
          <w:sz w:val="28"/>
          <w:szCs w:val="28"/>
          <w14:textFill>
            <w14:solidFill>
              <w14:schemeClr w14:val="tx1"/>
            </w14:solidFill>
          </w14:textFill>
        </w:rPr>
        <w:t>具有履行合同必需的设备和专业技术能力；</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olor w:val="000000" w:themeColor="text1"/>
          <w:sz w:val="28"/>
          <w:szCs w:val="28"/>
          <w14:textFill>
            <w14:solidFill>
              <w14:schemeClr w14:val="tx1"/>
            </w14:solidFill>
          </w14:textFill>
        </w:rPr>
        <w:t>3、</w:t>
      </w:r>
      <w:r>
        <w:rPr>
          <w:rFonts w:hint="eastAsia" w:ascii="方正仿宋_GBK" w:hAnsi="宋体" w:eastAsia="方正仿宋_GBK" w:cs="Times New Roman"/>
          <w:color w:val="000000"/>
          <w:sz w:val="28"/>
          <w:szCs w:val="20"/>
        </w:rPr>
        <w:t>政府采购活动近三年内，在经营活动中没有重大违法记录。</w:t>
      </w:r>
    </w:p>
    <w:p>
      <w:pPr>
        <w:spacing w:line="50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（二）特定资格条件</w:t>
      </w:r>
    </w:p>
    <w:p>
      <w:pPr>
        <w:snapToGrid w:val="0"/>
        <w:spacing w:line="560" w:lineRule="exact"/>
        <w:ind w:firstLine="560" w:firstLineChars="200"/>
        <w:rPr>
          <w:rFonts w:ascii="方正仿宋_GBK" w:hAnsi="宋体" w:eastAsia="方正仿宋_GBK" w:cs="Times New Roman"/>
          <w:color w:val="FF0000"/>
          <w:sz w:val="28"/>
          <w:szCs w:val="28"/>
        </w:rPr>
      </w:pPr>
      <w:r>
        <w:rPr>
          <w:rFonts w:hint="eastAsia" w:ascii="方正仿宋_GBK" w:eastAsia="方正仿宋_GBK"/>
          <w:sz w:val="28"/>
          <w:szCs w:val="28"/>
        </w:rPr>
        <w:t>投标人应具备《污染治理设施运行服务能力评价证书》二级及以上、《环境污染治理服务能力评价证书》甲级。</w:t>
      </w:r>
    </w:p>
    <w:p>
      <w:pPr>
        <w:spacing w:line="560" w:lineRule="exact"/>
        <w:ind w:firstLine="562" w:firstLineChars="200"/>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四、投标材料（均加盖公章）</w:t>
      </w:r>
    </w:p>
    <w:p>
      <w:pPr>
        <w:snapToGrid w:val="0"/>
        <w:spacing w:line="50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1、报价函</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2、企业营业执照复印件</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3、法定代表人身份证明</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4、法定代表人委托书</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5、资质证书复印件</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6、服务、技术方案、管理措施、业绩证明等</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7、无重大违法违纪记录声明</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五、投标、开标有关说明</w:t>
      </w:r>
    </w:p>
    <w:p>
      <w:pPr>
        <w:snapToGrid w:val="0"/>
        <w:spacing w:line="560" w:lineRule="exact"/>
        <w:ind w:firstLine="560"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color w:val="000000" w:themeColor="text1"/>
          <w:sz w:val="28"/>
          <w:szCs w:val="20"/>
          <w14:textFill>
            <w14:solidFill>
              <w14:schemeClr w14:val="tx1"/>
            </w14:solidFill>
          </w14:textFill>
        </w:rPr>
        <w:t>1、因本院污水处理设施设备情况复杂、投标人必须踏勘现场，结合实地情况。未前来实地踏勘的投标人，不接收其投标。</w:t>
      </w:r>
    </w:p>
    <w:p>
      <w:pPr>
        <w:snapToGrid w:val="0"/>
        <w:spacing w:line="560" w:lineRule="exact"/>
        <w:ind w:firstLine="562" w:firstLineChars="200"/>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踏勘现场时间和地点：</w:t>
      </w:r>
    </w:p>
    <w:p>
      <w:pPr>
        <w:snapToGrid w:val="0"/>
        <w:spacing w:line="56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0"/>
        </w:rPr>
        <w:t>时间：</w:t>
      </w:r>
      <w:r>
        <w:rPr>
          <w:rFonts w:hint="eastAsia" w:ascii="方正仿宋_GBK" w:hAnsi="宋体" w:eastAsia="方正仿宋_GBK" w:cs="Times New Roman"/>
          <w:color w:val="FF0000"/>
          <w:sz w:val="28"/>
          <w:szCs w:val="28"/>
        </w:rPr>
        <w:t>2021年</w:t>
      </w:r>
      <w:r>
        <w:rPr>
          <w:rFonts w:ascii="方正仿宋_GBK" w:hAnsi="宋体" w:eastAsia="方正仿宋_GBK" w:cs="Times New Roman"/>
          <w:color w:val="FF0000"/>
          <w:sz w:val="28"/>
          <w:szCs w:val="28"/>
        </w:rPr>
        <w:t>12</w:t>
      </w:r>
      <w:r>
        <w:rPr>
          <w:rFonts w:hint="eastAsia" w:ascii="方正仿宋_GBK" w:hAnsi="宋体" w:eastAsia="方正仿宋_GBK" w:cs="Times New Roman"/>
          <w:color w:val="FF0000"/>
          <w:sz w:val="28"/>
          <w:szCs w:val="28"/>
        </w:rPr>
        <w:t>月</w:t>
      </w:r>
      <w:r>
        <w:rPr>
          <w:rFonts w:ascii="方正仿宋_GBK" w:hAnsi="宋体" w:eastAsia="方正仿宋_GBK" w:cs="Times New Roman"/>
          <w:color w:val="FF0000"/>
          <w:sz w:val="28"/>
          <w:szCs w:val="28"/>
        </w:rPr>
        <w:t>28</w:t>
      </w:r>
      <w:r>
        <w:rPr>
          <w:rFonts w:hint="eastAsia" w:ascii="方正仿宋_GBK" w:hAnsi="宋体" w:eastAsia="方正仿宋_GBK" w:cs="Times New Roman"/>
          <w:color w:val="FF0000"/>
          <w:sz w:val="28"/>
          <w:szCs w:val="28"/>
        </w:rPr>
        <w:t>日上午10:</w:t>
      </w:r>
      <w:r>
        <w:rPr>
          <w:rFonts w:ascii="方正仿宋_GBK" w:hAnsi="宋体" w:eastAsia="方正仿宋_GBK" w:cs="Times New Roman"/>
          <w:color w:val="FF0000"/>
          <w:sz w:val="28"/>
          <w:szCs w:val="28"/>
        </w:rPr>
        <w:t>0</w:t>
      </w:r>
      <w:r>
        <w:rPr>
          <w:rFonts w:hint="eastAsia" w:ascii="方正仿宋_GBK" w:hAnsi="宋体" w:eastAsia="方正仿宋_GBK" w:cs="Times New Roman"/>
          <w:color w:val="FF0000"/>
          <w:sz w:val="28"/>
          <w:szCs w:val="28"/>
        </w:rPr>
        <w:t>0-1</w:t>
      </w:r>
      <w:r>
        <w:rPr>
          <w:rFonts w:ascii="方正仿宋_GBK" w:hAnsi="宋体" w:eastAsia="方正仿宋_GBK" w:cs="Times New Roman"/>
          <w:color w:val="FF0000"/>
          <w:sz w:val="28"/>
          <w:szCs w:val="28"/>
        </w:rPr>
        <w:t>1</w:t>
      </w:r>
      <w:r>
        <w:rPr>
          <w:rFonts w:hint="eastAsia" w:ascii="方正仿宋_GBK" w:hAnsi="宋体" w:eastAsia="方正仿宋_GBK" w:cs="Times New Roman"/>
          <w:color w:val="FF0000"/>
          <w:sz w:val="28"/>
          <w:szCs w:val="28"/>
        </w:rPr>
        <w:t>:</w:t>
      </w:r>
      <w:r>
        <w:rPr>
          <w:rFonts w:ascii="方正仿宋_GBK" w:hAnsi="宋体" w:eastAsia="方正仿宋_GBK" w:cs="Times New Roman"/>
          <w:color w:val="FF0000"/>
          <w:sz w:val="28"/>
          <w:szCs w:val="28"/>
        </w:rPr>
        <w:t>0</w:t>
      </w:r>
      <w:r>
        <w:rPr>
          <w:rFonts w:hint="eastAsia" w:ascii="方正仿宋_GBK" w:hAnsi="宋体" w:eastAsia="方正仿宋_GBK" w:cs="Times New Roman"/>
          <w:color w:val="FF0000"/>
          <w:sz w:val="28"/>
          <w:szCs w:val="28"/>
        </w:rPr>
        <w:t>0</w:t>
      </w:r>
      <w:r>
        <w:rPr>
          <w:rFonts w:hint="eastAsia" w:ascii="方正仿宋_GBK" w:hAnsi="宋体" w:eastAsia="方正仿宋_GBK" w:cs="Times New Roman"/>
          <w:sz w:val="28"/>
          <w:szCs w:val="28"/>
        </w:rPr>
        <w:t>，</w:t>
      </w:r>
    </w:p>
    <w:p>
      <w:pPr>
        <w:spacing w:line="560" w:lineRule="exact"/>
        <w:ind w:firstLine="560" w:firstLineChars="200"/>
        <w:rPr>
          <w:rFonts w:ascii="方正仿宋_GBK" w:eastAsia="方正仿宋_GBK"/>
          <w:sz w:val="28"/>
          <w:szCs w:val="28"/>
        </w:rPr>
      </w:pPr>
      <w:r>
        <w:rPr>
          <w:rFonts w:hint="eastAsia" w:ascii="方正仿宋_GBK" w:hAnsi="宋体" w:eastAsia="方正仿宋_GBK" w:cs="Times New Roman"/>
          <w:sz w:val="28"/>
          <w:szCs w:val="20"/>
        </w:rPr>
        <w:t>地址：</w:t>
      </w:r>
      <w:r>
        <w:rPr>
          <w:rFonts w:hint="eastAsia" w:ascii="方正仿宋_GBK" w:eastAsia="方正仿宋_GBK"/>
          <w:sz w:val="28"/>
          <w:szCs w:val="28"/>
        </w:rPr>
        <w:t>重庆市渝中区解放西路9号</w:t>
      </w:r>
    </w:p>
    <w:p>
      <w:pPr>
        <w:spacing w:line="56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0"/>
        </w:rPr>
        <w:t>2、投标人在规定时间内踏勘现场并按照工程清单报价。</w:t>
      </w:r>
      <w:r>
        <w:rPr>
          <w:rFonts w:hint="eastAsia" w:ascii="方正仿宋_GBK" w:hAnsi="宋体" w:eastAsia="方正仿宋_GBK" w:cs="Times New Roman"/>
          <w:color w:val="000000" w:themeColor="text1"/>
          <w:sz w:val="28"/>
          <w:szCs w:val="20"/>
          <w14:textFill>
            <w14:solidFill>
              <w14:schemeClr w14:val="tx1"/>
            </w14:solidFill>
          </w14:textFill>
        </w:rPr>
        <w:t>于规定时间内交至</w:t>
      </w:r>
      <w:r>
        <w:rPr>
          <w:rFonts w:hint="eastAsia" w:ascii="方正仿宋_GBK" w:hAnsi="宋体" w:eastAsia="方正仿宋_GBK" w:cs="Times New Roman"/>
          <w:sz w:val="28"/>
          <w:szCs w:val="28"/>
        </w:rPr>
        <w:t>重庆市中医骨科医院后勤保障科（渝中区解放西路1号427室）。</w:t>
      </w:r>
    </w:p>
    <w:p>
      <w:pPr>
        <w:snapToGrid w:val="0"/>
        <w:spacing w:line="560" w:lineRule="exact"/>
        <w:ind w:firstLine="573"/>
        <w:rPr>
          <w:rFonts w:ascii="方正仿宋_GBK" w:hAnsi="宋体" w:eastAsia="方正仿宋_GBK" w:cs="Times New Roman"/>
          <w:sz w:val="28"/>
          <w:szCs w:val="20"/>
        </w:rPr>
      </w:pPr>
      <w:r>
        <w:rPr>
          <w:rFonts w:hint="eastAsia" w:ascii="方正仿宋_GBK" w:hAnsi="宋体" w:eastAsia="方正仿宋_GBK" w:cs="Times New Roman"/>
          <w:sz w:val="28"/>
          <w:szCs w:val="20"/>
        </w:rPr>
        <w:t>投标文件递交地点：重庆市中医骨科医院</w:t>
      </w:r>
      <w:r>
        <w:rPr>
          <w:rFonts w:hint="eastAsia" w:ascii="方正仿宋_GBK" w:hAnsi="宋体" w:eastAsia="方正仿宋_GBK" w:cs="Times New Roman"/>
          <w:sz w:val="28"/>
          <w:szCs w:val="28"/>
        </w:rPr>
        <w:t>后勤保障科</w:t>
      </w:r>
    </w:p>
    <w:p>
      <w:pPr>
        <w:snapToGrid w:val="0"/>
        <w:spacing w:line="560" w:lineRule="exact"/>
        <w:ind w:firstLine="573"/>
        <w:rPr>
          <w:rFonts w:ascii="方正仿宋_GBK" w:hAnsi="宋体" w:eastAsia="方正仿宋_GBK" w:cs="Times New Roman"/>
          <w:sz w:val="28"/>
          <w:szCs w:val="28"/>
        </w:rPr>
      </w:pPr>
      <w:r>
        <w:rPr>
          <w:rFonts w:hint="eastAsia" w:ascii="方正仿宋_GBK" w:hAnsi="宋体" w:eastAsia="方正仿宋_GBK" w:cs="Times New Roman"/>
          <w:sz w:val="28"/>
          <w:szCs w:val="20"/>
        </w:rPr>
        <w:t>投标文件递交截至时间：</w:t>
      </w:r>
      <w:r>
        <w:rPr>
          <w:rFonts w:hint="eastAsia" w:ascii="方正仿宋_GBK" w:hAnsi="宋体" w:eastAsia="方正仿宋_GBK" w:cs="Times New Roman"/>
          <w:color w:val="FF0000"/>
          <w:sz w:val="28"/>
          <w:szCs w:val="28"/>
        </w:rPr>
        <w:t>2021年</w:t>
      </w:r>
      <w:r>
        <w:rPr>
          <w:rFonts w:ascii="方正仿宋_GBK" w:hAnsi="宋体" w:eastAsia="方正仿宋_GBK" w:cs="Times New Roman"/>
          <w:color w:val="FF0000"/>
          <w:sz w:val="28"/>
          <w:szCs w:val="28"/>
        </w:rPr>
        <w:t>12</w:t>
      </w:r>
      <w:r>
        <w:rPr>
          <w:rFonts w:hint="eastAsia" w:ascii="方正仿宋_GBK" w:hAnsi="宋体" w:eastAsia="方正仿宋_GBK" w:cs="Times New Roman"/>
          <w:color w:val="FF0000"/>
          <w:sz w:val="28"/>
          <w:szCs w:val="28"/>
        </w:rPr>
        <w:t>月</w:t>
      </w:r>
      <w:r>
        <w:rPr>
          <w:rFonts w:ascii="方正仿宋_GBK" w:hAnsi="宋体" w:eastAsia="方正仿宋_GBK" w:cs="Times New Roman"/>
          <w:color w:val="FF0000"/>
          <w:sz w:val="28"/>
          <w:szCs w:val="28"/>
        </w:rPr>
        <w:t>29</w:t>
      </w:r>
      <w:r>
        <w:rPr>
          <w:rFonts w:hint="eastAsia" w:ascii="方正仿宋_GBK" w:hAnsi="宋体" w:eastAsia="方正仿宋_GBK" w:cs="Times New Roman"/>
          <w:color w:val="FF0000"/>
          <w:sz w:val="28"/>
          <w:szCs w:val="28"/>
        </w:rPr>
        <w:t>日1</w:t>
      </w:r>
      <w:r>
        <w:rPr>
          <w:rFonts w:ascii="方正仿宋_GBK" w:hAnsi="宋体" w:eastAsia="方正仿宋_GBK" w:cs="Times New Roman"/>
          <w:color w:val="FF0000"/>
          <w:sz w:val="28"/>
          <w:szCs w:val="28"/>
        </w:rPr>
        <w:t>1</w:t>
      </w:r>
      <w:r>
        <w:rPr>
          <w:rFonts w:hint="eastAsia" w:ascii="方正仿宋_GBK" w:hAnsi="宋体" w:eastAsia="方正仿宋_GBK" w:cs="Times New Roman"/>
          <w:color w:val="FF0000"/>
          <w:sz w:val="28"/>
          <w:szCs w:val="28"/>
        </w:rPr>
        <w:t>:</w:t>
      </w:r>
      <w:r>
        <w:rPr>
          <w:rFonts w:ascii="方正仿宋_GBK" w:hAnsi="宋体" w:eastAsia="方正仿宋_GBK" w:cs="Times New Roman"/>
          <w:color w:val="FF0000"/>
          <w:sz w:val="28"/>
          <w:szCs w:val="28"/>
        </w:rPr>
        <w:t>0</w:t>
      </w:r>
      <w:r>
        <w:rPr>
          <w:rFonts w:hint="eastAsia" w:ascii="方正仿宋_GBK" w:hAnsi="宋体" w:eastAsia="方正仿宋_GBK" w:cs="Times New Roman"/>
          <w:color w:val="FF0000"/>
          <w:sz w:val="28"/>
          <w:szCs w:val="28"/>
        </w:rPr>
        <w:t>0</w:t>
      </w:r>
      <w:r>
        <w:rPr>
          <w:rFonts w:ascii="方正仿宋_GBK" w:hAnsi="宋体" w:eastAsia="方正仿宋_GBK" w:cs="Times New Roman"/>
          <w:sz w:val="28"/>
          <w:szCs w:val="28"/>
        </w:rPr>
        <w:t xml:space="preserve"> </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六、报价原则</w:t>
      </w:r>
    </w:p>
    <w:p>
      <w:pPr>
        <w:snapToGrid w:val="0"/>
        <w:spacing w:line="560" w:lineRule="exact"/>
        <w:ind w:firstLine="573"/>
        <w:rPr>
          <w:rFonts w:ascii="方正仿宋_GBK" w:hAnsi="宋体" w:eastAsia="方正仿宋_GBK" w:cs="Times New Roman"/>
          <w:sz w:val="28"/>
          <w:szCs w:val="20"/>
        </w:rPr>
      </w:pPr>
      <w:r>
        <w:rPr>
          <w:rFonts w:hint="eastAsia"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sz w:val="28"/>
          <w:szCs w:val="20"/>
        </w:rPr>
        <w:t>本次重庆市中医骨科医院</w:t>
      </w:r>
      <w:r>
        <w:rPr>
          <w:rFonts w:hint="eastAsia" w:ascii="方正仿宋_GBK" w:hAnsi="宋体" w:eastAsia="方正仿宋_GBK" w:cs="Times New Roman"/>
          <w:sz w:val="28"/>
          <w:szCs w:val="28"/>
        </w:rPr>
        <w:t>污水处理设施运营维护服务</w:t>
      </w:r>
      <w:r>
        <w:rPr>
          <w:rFonts w:hint="eastAsia" w:ascii="方正仿宋_GBK" w:hAnsi="宋体" w:eastAsia="方正仿宋_GBK" w:cs="Times New Roman"/>
          <w:sz w:val="28"/>
          <w:szCs w:val="20"/>
        </w:rPr>
        <w:t>比选采用分别报价的形式（详见附件2），投标人须自行考虑服务过程中将会发生的全部费用，并将其报价填入报价中。</w:t>
      </w:r>
    </w:p>
    <w:p>
      <w:pPr>
        <w:snapToGrid w:val="0"/>
        <w:spacing w:line="560" w:lineRule="exact"/>
        <w:ind w:firstLine="573"/>
        <w:rPr>
          <w:rFonts w:ascii="方正仿宋_GBK" w:hAnsi="宋体" w:eastAsia="方正仿宋_GBK" w:cs="Times New Roman"/>
          <w:sz w:val="28"/>
          <w:szCs w:val="20"/>
        </w:rPr>
      </w:pPr>
      <w:r>
        <w:rPr>
          <w:rFonts w:ascii="方正仿宋_GBK" w:hAnsi="宋体" w:eastAsia="方正仿宋_GBK" w:cs="Times New Roman"/>
          <w:sz w:val="28"/>
          <w:szCs w:val="20"/>
        </w:rPr>
        <w:t>2</w:t>
      </w:r>
      <w:r>
        <w:rPr>
          <w:rFonts w:hint="eastAsia" w:ascii="方正仿宋_GBK" w:hAnsi="宋体" w:eastAsia="方正仿宋_GBK" w:cs="Times New Roman"/>
          <w:sz w:val="28"/>
          <w:szCs w:val="20"/>
        </w:rPr>
        <w:t>、一切风险比选人应自行考虑在此次比选报价中，报价一经确定不作任何形式的调整。</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七、成交原则</w:t>
      </w:r>
    </w:p>
    <w:p>
      <w:pPr>
        <w:snapToGrid w:val="0"/>
        <w:spacing w:line="560" w:lineRule="exact"/>
        <w:ind w:firstLine="560" w:firstLineChars="200"/>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仿宋_GB2312"/>
          <w:bCs/>
          <w:color w:val="000000" w:themeColor="text1"/>
          <w:sz w:val="28"/>
          <w:szCs w:val="28"/>
          <w14:textFill>
            <w14:solidFill>
              <w14:schemeClr w14:val="tx1"/>
            </w14:solidFill>
          </w14:textFill>
        </w:rPr>
        <w:t xml:space="preserve">评标方法：本项目评审采用综合评估法进行评审， </w:t>
      </w:r>
    </w:p>
    <w:p>
      <w:pPr>
        <w:snapToGrid w:val="0"/>
        <w:spacing w:line="560" w:lineRule="exact"/>
        <w:ind w:firstLine="560" w:firstLineChars="200"/>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hint="eastAsia" w:ascii="方正仿宋_GBK" w:hAnsi="宋体" w:eastAsia="方正仿宋_GBK" w:cs="仿宋_GB2312"/>
          <w:bCs/>
          <w:color w:val="000000" w:themeColor="text1"/>
          <w:sz w:val="28"/>
          <w:szCs w:val="28"/>
          <w14:textFill>
            <w14:solidFill>
              <w14:schemeClr w14:val="tx1"/>
            </w14:solidFill>
          </w14:textFill>
        </w:rPr>
        <w:t>分值构成：竞标报价</w:t>
      </w:r>
      <w:r>
        <w:rPr>
          <w:rFonts w:ascii="方正仿宋_GBK" w:hAnsi="宋体" w:eastAsia="方正仿宋_GBK" w:cs="仿宋_GB2312"/>
          <w:bCs/>
          <w:color w:val="000000" w:themeColor="text1"/>
          <w:sz w:val="28"/>
          <w:szCs w:val="28"/>
          <w14:textFill>
            <w14:solidFill>
              <w14:schemeClr w14:val="tx1"/>
            </w14:solidFill>
          </w14:textFill>
        </w:rPr>
        <w:t>5</w:t>
      </w:r>
      <w:r>
        <w:rPr>
          <w:rFonts w:hint="eastAsia" w:ascii="方正仿宋_GBK" w:hAnsi="宋体" w:eastAsia="方正仿宋_GBK" w:cs="仿宋_GB2312"/>
          <w:bCs/>
          <w:color w:val="000000" w:themeColor="text1"/>
          <w:sz w:val="28"/>
          <w:szCs w:val="28"/>
          <w14:textFill>
            <w14:solidFill>
              <w14:schemeClr w14:val="tx1"/>
            </w14:solidFill>
          </w14:textFill>
        </w:rPr>
        <w:t>0分；技术部分</w:t>
      </w:r>
      <w:r>
        <w:rPr>
          <w:rFonts w:ascii="方正仿宋_GBK" w:hAnsi="宋体" w:eastAsia="方正仿宋_GBK" w:cs="仿宋_GB2312"/>
          <w:bCs/>
          <w:color w:val="000000" w:themeColor="text1"/>
          <w:sz w:val="28"/>
          <w:szCs w:val="28"/>
          <w14:textFill>
            <w14:solidFill>
              <w14:schemeClr w14:val="tx1"/>
            </w14:solidFill>
          </w14:textFill>
        </w:rPr>
        <w:t>4</w:t>
      </w:r>
      <w:r>
        <w:rPr>
          <w:rFonts w:hint="eastAsia" w:ascii="方正仿宋_GBK" w:hAnsi="宋体" w:eastAsia="方正仿宋_GBK" w:cs="仿宋_GB2312"/>
          <w:bCs/>
          <w:color w:val="000000" w:themeColor="text1"/>
          <w:sz w:val="28"/>
          <w:szCs w:val="28"/>
          <w14:textFill>
            <w14:solidFill>
              <w14:schemeClr w14:val="tx1"/>
            </w14:solidFill>
          </w14:textFill>
        </w:rPr>
        <w:t>0分、商务部分</w:t>
      </w:r>
      <w:r>
        <w:rPr>
          <w:rFonts w:ascii="方正仿宋_GBK" w:hAnsi="宋体" w:eastAsia="方正仿宋_GBK" w:cs="仿宋_GB2312"/>
          <w:bCs/>
          <w:color w:val="000000" w:themeColor="text1"/>
          <w:sz w:val="28"/>
          <w:szCs w:val="28"/>
          <w14:textFill>
            <w14:solidFill>
              <w14:schemeClr w14:val="tx1"/>
            </w14:solidFill>
          </w14:textFill>
        </w:rPr>
        <w:t>10</w:t>
      </w:r>
      <w:r>
        <w:rPr>
          <w:rFonts w:hint="eastAsia" w:ascii="方正仿宋_GBK" w:hAnsi="宋体" w:eastAsia="方正仿宋_GBK" w:cs="仿宋_GB2312"/>
          <w:bCs/>
          <w:color w:val="000000" w:themeColor="text1"/>
          <w:sz w:val="28"/>
          <w:szCs w:val="28"/>
          <w14:textFill>
            <w14:solidFill>
              <w14:schemeClr w14:val="tx1"/>
            </w14:solidFill>
          </w14:textFill>
        </w:rPr>
        <w:t>分。</w:t>
      </w:r>
    </w:p>
    <w:tbl>
      <w:tblPr>
        <w:tblStyle w:val="10"/>
        <w:tblW w:w="5465"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310"/>
        <w:gridCol w:w="870"/>
        <w:gridCol w:w="479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653" w:type="pct"/>
            <w:vAlign w:val="center"/>
          </w:tcPr>
          <w:p>
            <w:pPr>
              <w:adjustRightInd w:val="0"/>
              <w:snapToGrid w:val="0"/>
              <w:spacing w:line="320" w:lineRule="exact"/>
              <w:jc w:val="center"/>
              <w:rPr>
                <w:rFonts w:ascii="方正仿宋_GBK" w:hAnsi="仿宋" w:eastAsia="方正仿宋_GBK"/>
                <w:sz w:val="24"/>
                <w:szCs w:val="24"/>
              </w:rPr>
            </w:pPr>
            <w:bookmarkStart w:id="0" w:name="OLE_LINK2"/>
            <w:bookmarkStart w:id="1" w:name="OLE_LINK5"/>
            <w:bookmarkStart w:id="2" w:name="OLE_LINK1"/>
            <w:r>
              <w:rPr>
                <w:rFonts w:hint="eastAsia" w:ascii="方正仿宋_GBK" w:hAnsi="仿宋" w:eastAsia="方正仿宋_GBK"/>
                <w:sz w:val="24"/>
                <w:szCs w:val="24"/>
              </w:rPr>
              <w:t>项目</w:t>
            </w:r>
          </w:p>
        </w:tc>
        <w:tc>
          <w:tcPr>
            <w:tcW w:w="1087" w:type="pct"/>
            <w:gridSpan w:val="2"/>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分值</w:t>
            </w:r>
          </w:p>
        </w:tc>
        <w:tc>
          <w:tcPr>
            <w:tcW w:w="2391"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评分标准</w:t>
            </w:r>
          </w:p>
        </w:tc>
        <w:tc>
          <w:tcPr>
            <w:tcW w:w="869"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trPr>
        <w:tc>
          <w:tcPr>
            <w:tcW w:w="653"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经济部分（</w:t>
            </w:r>
            <w:r>
              <w:rPr>
                <w:rFonts w:ascii="方正仿宋_GBK" w:hAnsi="仿宋" w:eastAsia="方正仿宋_GBK"/>
                <w:sz w:val="24"/>
                <w:szCs w:val="24"/>
              </w:rPr>
              <w:t>5</w:t>
            </w:r>
            <w:r>
              <w:rPr>
                <w:rFonts w:hint="eastAsia" w:ascii="方正仿宋_GBK" w:hAnsi="仿宋" w:eastAsia="方正仿宋_GBK"/>
                <w:sz w:val="24"/>
                <w:szCs w:val="24"/>
              </w:rPr>
              <w:t>0%）</w:t>
            </w:r>
          </w:p>
        </w:tc>
        <w:tc>
          <w:tcPr>
            <w:tcW w:w="653" w:type="pct"/>
            <w:vAlign w:val="center"/>
          </w:tcPr>
          <w:p>
            <w:pPr>
              <w:adjustRightInd w:val="0"/>
              <w:snapToGrid w:val="0"/>
              <w:spacing w:line="320" w:lineRule="exact"/>
              <w:jc w:val="center"/>
              <w:rPr>
                <w:rFonts w:ascii="方正仿宋_GBK" w:hAnsi="仿宋" w:eastAsia="方正仿宋_GBK"/>
                <w:color w:val="000000" w:themeColor="text1"/>
                <w:sz w:val="24"/>
                <w:szCs w:val="24"/>
                <w14:textFill>
                  <w14:solidFill>
                    <w14:schemeClr w14:val="tx1"/>
                  </w14:solidFill>
                </w14:textFill>
              </w:rPr>
            </w:pPr>
            <w:r>
              <w:rPr>
                <w:rFonts w:hint="eastAsia" w:ascii="方正仿宋_GBK" w:hAnsi="仿宋" w:eastAsia="方正仿宋_GBK"/>
                <w:color w:val="000000" w:themeColor="text1"/>
                <w:sz w:val="24"/>
                <w:szCs w:val="24"/>
                <w14:textFill>
                  <w14:solidFill>
                    <w14:schemeClr w14:val="tx1"/>
                  </w14:solidFill>
                </w14:textFill>
              </w:rPr>
              <w:t>竞标报价</w:t>
            </w:r>
          </w:p>
        </w:tc>
        <w:tc>
          <w:tcPr>
            <w:tcW w:w="434" w:type="pct"/>
            <w:vAlign w:val="center"/>
          </w:tcPr>
          <w:p>
            <w:pPr>
              <w:adjustRightInd w:val="0"/>
              <w:snapToGrid w:val="0"/>
              <w:spacing w:line="320" w:lineRule="exact"/>
              <w:jc w:val="center"/>
              <w:rPr>
                <w:rFonts w:ascii="方正仿宋_GBK" w:hAnsi="仿宋" w:eastAsia="方正仿宋_GBK"/>
                <w:color w:val="000000" w:themeColor="text1"/>
                <w:sz w:val="24"/>
                <w:szCs w:val="24"/>
                <w14:textFill>
                  <w14:solidFill>
                    <w14:schemeClr w14:val="tx1"/>
                  </w14:solidFill>
                </w14:textFill>
              </w:rPr>
            </w:pPr>
            <w:r>
              <w:rPr>
                <w:rFonts w:ascii="方正仿宋_GBK" w:hAnsi="仿宋" w:eastAsia="方正仿宋_GBK"/>
                <w:color w:val="000000" w:themeColor="text1"/>
                <w:sz w:val="24"/>
                <w:szCs w:val="24"/>
                <w14:textFill>
                  <w14:solidFill>
                    <w14:schemeClr w14:val="tx1"/>
                  </w14:solidFill>
                </w14:textFill>
              </w:rPr>
              <w:t>5</w:t>
            </w:r>
            <w:r>
              <w:rPr>
                <w:rFonts w:hint="eastAsia" w:ascii="方正仿宋_GBK" w:hAnsi="仿宋" w:eastAsia="方正仿宋_GBK"/>
                <w:color w:val="000000" w:themeColor="text1"/>
                <w:sz w:val="24"/>
                <w:szCs w:val="24"/>
                <w14:textFill>
                  <w14:solidFill>
                    <w14:schemeClr w14:val="tx1"/>
                  </w14:solidFill>
                </w14:textFill>
              </w:rPr>
              <w:t>0分</w:t>
            </w:r>
          </w:p>
        </w:tc>
        <w:tc>
          <w:tcPr>
            <w:tcW w:w="2391" w:type="pct"/>
            <w:vAlign w:val="center"/>
          </w:tcPr>
          <w:p>
            <w:pPr>
              <w:adjustRightInd w:val="0"/>
              <w:snapToGrid w:val="0"/>
              <w:spacing w:line="320" w:lineRule="exact"/>
              <w:rPr>
                <w:rFonts w:ascii="方正仿宋_GBK" w:hAnsi="仿宋" w:eastAsia="方正仿宋_GBK"/>
                <w:color w:val="000000" w:themeColor="text1"/>
                <w:sz w:val="24"/>
                <w:szCs w:val="24"/>
                <w14:textFill>
                  <w14:solidFill>
                    <w14:schemeClr w14:val="tx1"/>
                  </w14:solidFill>
                </w14:textFill>
              </w:rPr>
            </w:pPr>
            <w:r>
              <w:rPr>
                <w:rFonts w:hint="eastAsia" w:ascii="方正仿宋_GBK" w:hAnsi="仿宋" w:eastAsia="方正仿宋_GBK"/>
                <w:color w:val="000000" w:themeColor="text1"/>
                <w:sz w:val="24"/>
                <w:szCs w:val="24"/>
                <w14:textFill>
                  <w14:solidFill>
                    <w14:schemeClr w14:val="tx1"/>
                  </w14:solidFill>
                </w14:textFill>
              </w:rPr>
              <w:t>所有通过初步评审的竞标报价先得</w:t>
            </w:r>
            <w:r>
              <w:rPr>
                <w:rFonts w:ascii="方正仿宋_GBK" w:hAnsi="仿宋" w:eastAsia="方正仿宋_GBK"/>
                <w:color w:val="000000" w:themeColor="text1"/>
                <w:sz w:val="24"/>
                <w:szCs w:val="24"/>
                <w14:textFill>
                  <w14:solidFill>
                    <w14:schemeClr w14:val="tx1"/>
                  </w14:solidFill>
                </w14:textFill>
              </w:rPr>
              <w:t>5</w:t>
            </w:r>
            <w:r>
              <w:rPr>
                <w:rFonts w:hint="eastAsia" w:ascii="方正仿宋_GBK" w:hAnsi="仿宋" w:eastAsia="方正仿宋_GBK"/>
                <w:color w:val="000000" w:themeColor="text1"/>
                <w:sz w:val="24"/>
                <w:szCs w:val="24"/>
                <w14:textFill>
                  <w14:solidFill>
                    <w14:schemeClr w14:val="tx1"/>
                  </w14:solidFill>
                </w14:textFill>
              </w:rPr>
              <w:t>0分。在此基础上，各有效竞标报价分别与评标基准价相比较，每高于评标基准价1%扣</w:t>
            </w:r>
            <w:r>
              <w:rPr>
                <w:rFonts w:ascii="方正仿宋_GBK" w:hAnsi="仿宋" w:eastAsia="方正仿宋_GBK"/>
                <w:color w:val="000000" w:themeColor="text1"/>
                <w:sz w:val="24"/>
                <w:szCs w:val="24"/>
                <w14:textFill>
                  <w14:solidFill>
                    <w14:schemeClr w14:val="tx1"/>
                  </w14:solidFill>
                </w14:textFill>
              </w:rPr>
              <w:t>1</w:t>
            </w:r>
            <w:r>
              <w:rPr>
                <w:rFonts w:hint="eastAsia" w:ascii="方正仿宋_GBK" w:hAnsi="仿宋" w:eastAsia="方正仿宋_GBK"/>
                <w:color w:val="000000" w:themeColor="text1"/>
                <w:sz w:val="24"/>
                <w:szCs w:val="24"/>
                <w14:textFill>
                  <w14:solidFill>
                    <w14:schemeClr w14:val="tx1"/>
                  </w14:solidFill>
                </w14:textFill>
              </w:rPr>
              <w:t>分，每低于评标基准价1%扣</w:t>
            </w:r>
            <w:r>
              <w:rPr>
                <w:rFonts w:ascii="方正仿宋_GBK" w:hAnsi="仿宋" w:eastAsia="方正仿宋_GBK"/>
                <w:color w:val="000000" w:themeColor="text1"/>
                <w:sz w:val="24"/>
                <w:szCs w:val="24"/>
                <w14:textFill>
                  <w14:solidFill>
                    <w14:schemeClr w14:val="tx1"/>
                  </w14:solidFill>
                </w14:textFill>
              </w:rPr>
              <w:t>0.5</w:t>
            </w:r>
            <w:r>
              <w:rPr>
                <w:rFonts w:hint="eastAsia" w:ascii="方正仿宋_GBK" w:hAnsi="仿宋" w:eastAsia="方正仿宋_GBK"/>
                <w:color w:val="000000" w:themeColor="text1"/>
                <w:sz w:val="24"/>
                <w:szCs w:val="24"/>
                <w14:textFill>
                  <w14:solidFill>
                    <w14:schemeClr w14:val="tx1"/>
                  </w14:solidFill>
                </w14:textFill>
              </w:rPr>
              <w:t>分，扣完为止。</w:t>
            </w:r>
          </w:p>
          <w:p>
            <w:pPr>
              <w:adjustRightInd w:val="0"/>
              <w:snapToGrid w:val="0"/>
              <w:spacing w:line="320" w:lineRule="exact"/>
              <w:rPr>
                <w:rFonts w:ascii="方正仿宋_GBK" w:hAnsi="仿宋" w:eastAsia="方正仿宋_GBK"/>
                <w:color w:val="000000" w:themeColor="text1"/>
                <w:sz w:val="24"/>
                <w:szCs w:val="24"/>
                <w14:textFill>
                  <w14:solidFill>
                    <w14:schemeClr w14:val="tx1"/>
                  </w14:solidFill>
                </w14:textFill>
              </w:rPr>
            </w:pPr>
            <w:r>
              <w:rPr>
                <w:rFonts w:hint="eastAsia" w:ascii="方正仿宋_GBK" w:hAnsi="仿宋" w:eastAsia="方正仿宋_GBK"/>
                <w:color w:val="000000" w:themeColor="text1"/>
                <w:sz w:val="24"/>
                <w:szCs w:val="24"/>
                <w14:textFill>
                  <w14:solidFill>
                    <w14:schemeClr w14:val="tx1"/>
                  </w14:solidFill>
                </w14:textFill>
              </w:rPr>
              <w:t>（评标基准价为所有报价的算数平均价）</w:t>
            </w:r>
          </w:p>
        </w:tc>
        <w:tc>
          <w:tcPr>
            <w:tcW w:w="869" w:type="pct"/>
            <w:vAlign w:val="center"/>
          </w:tcPr>
          <w:p>
            <w:pPr>
              <w:adjustRightInd w:val="0"/>
              <w:snapToGrid w:val="0"/>
              <w:spacing w:line="320" w:lineRule="exact"/>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atLeast"/>
        </w:trPr>
        <w:tc>
          <w:tcPr>
            <w:tcW w:w="653" w:type="pct"/>
            <w:vMerge w:val="restart"/>
            <w:vAlign w:val="center"/>
          </w:tcPr>
          <w:p>
            <w:pPr>
              <w:adjustRightInd w:val="0"/>
              <w:snapToGrid w:val="0"/>
              <w:spacing w:line="320" w:lineRule="exact"/>
              <w:jc w:val="center"/>
              <w:rPr>
                <w:rFonts w:ascii="方正仿宋_GBK" w:hAnsi="仿宋" w:eastAsia="方正仿宋_GBK"/>
                <w:sz w:val="24"/>
                <w:szCs w:val="24"/>
              </w:rPr>
            </w:pPr>
          </w:p>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技术部分</w:t>
            </w:r>
          </w:p>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w:t>
            </w:r>
            <w:r>
              <w:rPr>
                <w:rFonts w:ascii="方正仿宋_GBK" w:hAnsi="仿宋" w:eastAsia="方正仿宋_GBK"/>
                <w:sz w:val="24"/>
                <w:szCs w:val="24"/>
              </w:rPr>
              <w:t>4</w:t>
            </w:r>
            <w:r>
              <w:rPr>
                <w:rFonts w:hint="eastAsia" w:ascii="方正仿宋_GBK" w:hAnsi="仿宋" w:eastAsia="方正仿宋_GBK"/>
                <w:sz w:val="24"/>
                <w:szCs w:val="24"/>
              </w:rPr>
              <w:t>0%）</w:t>
            </w:r>
          </w:p>
        </w:tc>
        <w:tc>
          <w:tcPr>
            <w:tcW w:w="653"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技术方案</w:t>
            </w:r>
          </w:p>
        </w:tc>
        <w:tc>
          <w:tcPr>
            <w:tcW w:w="434" w:type="pct"/>
            <w:vAlign w:val="center"/>
          </w:tcPr>
          <w:p>
            <w:pPr>
              <w:adjustRightInd w:val="0"/>
              <w:snapToGrid w:val="0"/>
              <w:spacing w:line="320" w:lineRule="exact"/>
              <w:jc w:val="center"/>
              <w:rPr>
                <w:rFonts w:ascii="方正仿宋_GBK" w:hAnsi="仿宋" w:eastAsia="方正仿宋_GBK"/>
                <w:sz w:val="24"/>
                <w:szCs w:val="24"/>
              </w:rPr>
            </w:pPr>
            <w:r>
              <w:rPr>
                <w:rFonts w:ascii="方正仿宋_GBK" w:hAnsi="仿宋" w:eastAsia="方正仿宋_GBK"/>
                <w:sz w:val="24"/>
                <w:szCs w:val="24"/>
              </w:rPr>
              <w:t>2</w:t>
            </w:r>
            <w:r>
              <w:rPr>
                <w:rFonts w:hint="eastAsia" w:ascii="方正仿宋_GBK" w:hAnsi="仿宋" w:eastAsia="方正仿宋_GBK"/>
                <w:sz w:val="24"/>
                <w:szCs w:val="24"/>
              </w:rPr>
              <w:t>0分</w:t>
            </w:r>
          </w:p>
        </w:tc>
        <w:tc>
          <w:tcPr>
            <w:tcW w:w="2391" w:type="pct"/>
            <w:vAlign w:val="center"/>
          </w:tcPr>
          <w:p>
            <w:pPr>
              <w:contextualSpacing/>
              <w:rPr>
                <w:rFonts w:ascii="方正仿宋_GBK" w:hAnsi="仿宋" w:eastAsia="方正仿宋_GBK" w:cs="宋体"/>
                <w:kern w:val="0"/>
                <w:sz w:val="24"/>
                <w:szCs w:val="24"/>
              </w:rPr>
            </w:pPr>
            <w:r>
              <w:rPr>
                <w:rFonts w:hint="eastAsia" w:ascii="方正仿宋_GBK" w:hAnsi="仿宋" w:eastAsia="方正仿宋_GBK" w:cs="宋体"/>
                <w:kern w:val="0"/>
                <w:sz w:val="24"/>
                <w:szCs w:val="24"/>
              </w:rPr>
              <w:t>根据医院实际，为本项目制定详实可行的技术服务方案。（</w:t>
            </w:r>
            <w:r>
              <w:rPr>
                <w:rFonts w:ascii="方正仿宋_GBK" w:hAnsi="仿宋" w:eastAsia="方正仿宋_GBK" w:cs="宋体"/>
                <w:kern w:val="0"/>
                <w:sz w:val="24"/>
                <w:szCs w:val="24"/>
              </w:rPr>
              <w:t>2</w:t>
            </w:r>
            <w:r>
              <w:rPr>
                <w:rFonts w:hint="eastAsia" w:ascii="方正仿宋_GBK" w:hAnsi="仿宋" w:eastAsia="方正仿宋_GBK" w:cs="宋体"/>
                <w:kern w:val="0"/>
                <w:sz w:val="24"/>
                <w:szCs w:val="24"/>
              </w:rPr>
              <w:t>0分）</w:t>
            </w:r>
          </w:p>
          <w:p>
            <w:pPr>
              <w:contextualSpacing/>
              <w:rPr>
                <w:rFonts w:ascii="方正仿宋_GBK" w:hAnsi="仿宋" w:eastAsia="方正仿宋_GBK" w:cs="宋体"/>
                <w:kern w:val="0"/>
                <w:sz w:val="24"/>
                <w:szCs w:val="24"/>
              </w:rPr>
            </w:pPr>
            <w:r>
              <w:rPr>
                <w:rFonts w:hint="eastAsia" w:ascii="方正仿宋_GBK" w:hAnsi="仿宋" w:eastAsia="方正仿宋_GBK" w:cs="宋体"/>
                <w:kern w:val="0"/>
                <w:sz w:val="24"/>
                <w:szCs w:val="24"/>
              </w:rPr>
              <w:t>1.技术服务方案详实、全面、完整</w:t>
            </w:r>
            <w:r>
              <w:rPr>
                <w:rFonts w:hint="eastAsia" w:ascii="方正仿宋_GBK" w:hAnsi="仿宋" w:eastAsia="方正仿宋_GBK" w:cs="宋体"/>
                <w:bCs/>
                <w:iCs/>
                <w:kern w:val="0"/>
                <w:sz w:val="24"/>
                <w:szCs w:val="24"/>
              </w:rPr>
              <w:t>、可行，得</w:t>
            </w:r>
            <w:r>
              <w:rPr>
                <w:rFonts w:ascii="方正仿宋_GBK" w:hAnsi="仿宋" w:eastAsia="方正仿宋_GBK" w:cs="宋体"/>
                <w:bCs/>
                <w:iCs/>
                <w:kern w:val="0"/>
                <w:sz w:val="24"/>
                <w:szCs w:val="24"/>
              </w:rPr>
              <w:t>2</w:t>
            </w:r>
            <w:r>
              <w:rPr>
                <w:rFonts w:hint="eastAsia" w:ascii="方正仿宋_GBK" w:hAnsi="仿宋" w:eastAsia="方正仿宋_GBK" w:cs="宋体"/>
                <w:bCs/>
                <w:iCs/>
                <w:kern w:val="0"/>
                <w:sz w:val="24"/>
                <w:szCs w:val="24"/>
              </w:rPr>
              <w:t>0分；</w:t>
            </w:r>
          </w:p>
          <w:p>
            <w:pPr>
              <w:contextualSpacing/>
              <w:rPr>
                <w:rFonts w:ascii="方正仿宋_GBK" w:hAnsi="仿宋" w:eastAsia="方正仿宋_GBK" w:cs="宋体"/>
                <w:kern w:val="0"/>
                <w:sz w:val="24"/>
                <w:szCs w:val="24"/>
              </w:rPr>
            </w:pPr>
            <w:r>
              <w:rPr>
                <w:rFonts w:hint="eastAsia" w:ascii="方正仿宋_GBK" w:hAnsi="仿宋" w:eastAsia="方正仿宋_GBK" w:cs="宋体"/>
                <w:kern w:val="0"/>
                <w:sz w:val="24"/>
                <w:szCs w:val="24"/>
              </w:rPr>
              <w:t>2. 技术服务方案较</w:t>
            </w:r>
            <w:r>
              <w:rPr>
                <w:rFonts w:hint="eastAsia" w:ascii="方正仿宋_GBK" w:hAnsi="仿宋" w:eastAsia="方正仿宋_GBK" w:cs="宋体"/>
                <w:bCs/>
                <w:iCs/>
                <w:kern w:val="0"/>
                <w:sz w:val="24"/>
                <w:szCs w:val="24"/>
              </w:rPr>
              <w:t>详细、完整、合理、可行，</w:t>
            </w:r>
            <w:r>
              <w:rPr>
                <w:rFonts w:hint="eastAsia" w:ascii="方正仿宋_GBK" w:hAnsi="仿宋" w:eastAsia="方正仿宋_GBK" w:cs="宋体"/>
                <w:kern w:val="0"/>
                <w:sz w:val="24"/>
                <w:szCs w:val="24"/>
              </w:rPr>
              <w:t>得</w:t>
            </w:r>
            <w:r>
              <w:rPr>
                <w:rFonts w:ascii="方正仿宋_GBK" w:hAnsi="仿宋" w:eastAsia="方正仿宋_GBK" w:cs="宋体"/>
                <w:kern w:val="0"/>
                <w:sz w:val="24"/>
                <w:szCs w:val="24"/>
              </w:rPr>
              <w:t>15</w:t>
            </w:r>
            <w:r>
              <w:rPr>
                <w:rFonts w:hint="eastAsia" w:ascii="方正仿宋_GBK" w:hAnsi="仿宋" w:eastAsia="方正仿宋_GBK" w:cs="宋体"/>
                <w:kern w:val="0"/>
                <w:sz w:val="24"/>
                <w:szCs w:val="24"/>
              </w:rPr>
              <w:t>分；</w:t>
            </w:r>
          </w:p>
          <w:p>
            <w:pPr>
              <w:contextualSpacing/>
              <w:rPr>
                <w:rFonts w:ascii="方正仿宋_GBK" w:hAnsi="仿宋" w:eastAsia="方正仿宋_GBK" w:cs="宋体"/>
                <w:kern w:val="0"/>
                <w:sz w:val="24"/>
                <w:szCs w:val="24"/>
              </w:rPr>
            </w:pPr>
            <w:r>
              <w:rPr>
                <w:rFonts w:hint="eastAsia" w:ascii="方正仿宋_GBK" w:hAnsi="仿宋" w:eastAsia="方正仿宋_GBK" w:cs="宋体"/>
                <w:kern w:val="0"/>
                <w:sz w:val="24"/>
                <w:szCs w:val="24"/>
              </w:rPr>
              <w:t>3.技术服务方案</w:t>
            </w:r>
            <w:r>
              <w:rPr>
                <w:rFonts w:hint="eastAsia" w:ascii="方正仿宋_GBK" w:hAnsi="仿宋" w:eastAsia="方正仿宋_GBK" w:cs="宋体"/>
                <w:bCs/>
                <w:iCs/>
                <w:kern w:val="0"/>
                <w:sz w:val="24"/>
                <w:szCs w:val="24"/>
              </w:rPr>
              <w:t>一般详细、完整、合理，基本可行，</w:t>
            </w:r>
            <w:r>
              <w:rPr>
                <w:rFonts w:hint="eastAsia" w:ascii="方正仿宋_GBK" w:hAnsi="仿宋" w:eastAsia="方正仿宋_GBK" w:cs="宋体"/>
                <w:kern w:val="0"/>
                <w:sz w:val="24"/>
                <w:szCs w:val="24"/>
              </w:rPr>
              <w:t>得10分；</w:t>
            </w:r>
          </w:p>
          <w:p>
            <w:pPr>
              <w:adjustRightInd w:val="0"/>
              <w:snapToGrid w:val="0"/>
              <w:spacing w:line="320" w:lineRule="exact"/>
              <w:rPr>
                <w:rFonts w:ascii="方正仿宋_GBK" w:hAnsi="仿宋" w:eastAsia="方正仿宋_GBK"/>
                <w:sz w:val="24"/>
                <w:szCs w:val="24"/>
              </w:rPr>
            </w:pPr>
            <w:r>
              <w:rPr>
                <w:rFonts w:hint="eastAsia" w:ascii="方正仿宋_GBK" w:hAnsi="仿宋" w:eastAsia="方正仿宋_GBK" w:cs="宋体"/>
                <w:kern w:val="0"/>
                <w:sz w:val="24"/>
                <w:szCs w:val="24"/>
              </w:rPr>
              <w:t>4.,技术服务方案</w:t>
            </w:r>
            <w:r>
              <w:rPr>
                <w:rFonts w:hint="eastAsia" w:ascii="方正仿宋_GBK" w:hAnsi="仿宋" w:eastAsia="方正仿宋_GBK" w:cs="宋体"/>
                <w:bCs/>
                <w:iCs/>
                <w:kern w:val="0"/>
                <w:sz w:val="24"/>
                <w:szCs w:val="24"/>
              </w:rPr>
              <w:t>不详细、合理，无可行性，与本项目无关或未提及，得0分。</w:t>
            </w:r>
          </w:p>
        </w:tc>
        <w:tc>
          <w:tcPr>
            <w:tcW w:w="869" w:type="pct"/>
            <w:vAlign w:val="center"/>
          </w:tcPr>
          <w:p>
            <w:pPr>
              <w:adjustRightInd w:val="0"/>
              <w:snapToGrid w:val="0"/>
              <w:spacing w:line="320" w:lineRule="exact"/>
              <w:jc w:val="left"/>
              <w:rPr>
                <w:rFonts w:ascii="方正仿宋_GBK" w:hAnsi="仿宋" w:eastAsia="方正仿宋_GBK"/>
                <w:sz w:val="24"/>
                <w:szCs w:val="24"/>
              </w:rPr>
            </w:pPr>
            <w:r>
              <w:rPr>
                <w:rFonts w:hint="eastAsia" w:ascii="方正仿宋_GBK" w:hAnsi="仿宋" w:eastAsia="方正仿宋_GBK"/>
                <w:sz w:val="24"/>
                <w:szCs w:val="24"/>
              </w:rPr>
              <w:t>提供技术服务方案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1" w:hRule="atLeast"/>
        </w:trPr>
        <w:tc>
          <w:tcPr>
            <w:tcW w:w="653" w:type="pct"/>
            <w:vMerge w:val="continue"/>
            <w:vAlign w:val="center"/>
          </w:tcPr>
          <w:p>
            <w:pPr>
              <w:adjustRightInd w:val="0"/>
              <w:snapToGrid w:val="0"/>
              <w:spacing w:line="320" w:lineRule="exact"/>
              <w:jc w:val="center"/>
              <w:rPr>
                <w:rFonts w:ascii="方正仿宋_GBK" w:hAnsi="仿宋" w:eastAsia="方正仿宋_GBK"/>
                <w:sz w:val="24"/>
                <w:szCs w:val="24"/>
              </w:rPr>
            </w:pPr>
          </w:p>
        </w:tc>
        <w:tc>
          <w:tcPr>
            <w:tcW w:w="653"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质量保证及安全管理措施</w:t>
            </w:r>
          </w:p>
        </w:tc>
        <w:tc>
          <w:tcPr>
            <w:tcW w:w="434"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20分</w:t>
            </w:r>
          </w:p>
        </w:tc>
        <w:tc>
          <w:tcPr>
            <w:tcW w:w="2391" w:type="pct"/>
            <w:vAlign w:val="center"/>
          </w:tcPr>
          <w:p>
            <w:p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公司有健全、可行的质量保证及安全管理措施</w:t>
            </w:r>
          </w:p>
          <w:p>
            <w:pPr>
              <w:numPr>
                <w:ilvl w:val="0"/>
                <w:numId w:val="1"/>
              </w:num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管理措施健全、可行，得20分；</w:t>
            </w:r>
          </w:p>
          <w:p>
            <w:pPr>
              <w:numPr>
                <w:ilvl w:val="0"/>
                <w:numId w:val="1"/>
              </w:num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管理措施较健全、可行，得10分；</w:t>
            </w:r>
          </w:p>
          <w:p>
            <w:pPr>
              <w:numPr>
                <w:ilvl w:val="0"/>
                <w:numId w:val="1"/>
              </w:num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管理措施一般健全、可行，得5分；</w:t>
            </w:r>
          </w:p>
          <w:p>
            <w:pPr>
              <w:numPr>
                <w:ilvl w:val="0"/>
                <w:numId w:val="1"/>
              </w:num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管理措施不健全、无可行性，或者未提供得0分。</w:t>
            </w:r>
          </w:p>
        </w:tc>
        <w:tc>
          <w:tcPr>
            <w:tcW w:w="869" w:type="pct"/>
            <w:vAlign w:val="center"/>
          </w:tcPr>
          <w:p>
            <w:pPr>
              <w:adjustRightInd w:val="0"/>
              <w:snapToGrid w:val="0"/>
              <w:spacing w:line="320" w:lineRule="exact"/>
              <w:jc w:val="left"/>
              <w:rPr>
                <w:rFonts w:ascii="方正仿宋_GBK" w:hAnsi="仿宋" w:eastAsia="方正仿宋_GBK"/>
                <w:sz w:val="24"/>
                <w:szCs w:val="24"/>
              </w:rPr>
            </w:pPr>
            <w:r>
              <w:rPr>
                <w:rFonts w:hint="eastAsia" w:ascii="方正仿宋_GBK" w:hAnsi="仿宋" w:eastAsia="方正仿宋_GBK"/>
                <w:sz w:val="24"/>
                <w:szCs w:val="24"/>
              </w:rPr>
              <w:t>提供质量保证及安全管理措施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trPr>
        <w:tc>
          <w:tcPr>
            <w:tcW w:w="653"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商务部分（</w:t>
            </w:r>
            <w:r>
              <w:rPr>
                <w:rFonts w:ascii="方正仿宋_GBK" w:hAnsi="仿宋" w:eastAsia="方正仿宋_GBK"/>
                <w:sz w:val="24"/>
                <w:szCs w:val="24"/>
              </w:rPr>
              <w:t>1</w:t>
            </w:r>
            <w:r>
              <w:rPr>
                <w:rFonts w:hint="eastAsia" w:ascii="方正仿宋_GBK" w:hAnsi="仿宋" w:eastAsia="方正仿宋_GBK"/>
                <w:sz w:val="24"/>
                <w:szCs w:val="24"/>
              </w:rPr>
              <w:t>0%）</w:t>
            </w:r>
          </w:p>
        </w:tc>
        <w:tc>
          <w:tcPr>
            <w:tcW w:w="653" w:type="pct"/>
            <w:vAlign w:val="center"/>
          </w:tcPr>
          <w:p>
            <w:pPr>
              <w:adjustRightInd w:val="0"/>
              <w:snapToGrid w:val="0"/>
              <w:spacing w:line="320" w:lineRule="exact"/>
              <w:jc w:val="center"/>
              <w:rPr>
                <w:rFonts w:ascii="方正仿宋_GBK" w:hAnsi="仿宋" w:eastAsia="方正仿宋_GBK"/>
                <w:sz w:val="24"/>
                <w:szCs w:val="24"/>
              </w:rPr>
            </w:pPr>
            <w:r>
              <w:rPr>
                <w:rFonts w:hint="eastAsia" w:ascii="方正仿宋_GBK" w:hAnsi="仿宋" w:eastAsia="方正仿宋_GBK"/>
                <w:sz w:val="24"/>
                <w:szCs w:val="24"/>
              </w:rPr>
              <w:t>服务业绩</w:t>
            </w:r>
          </w:p>
        </w:tc>
        <w:tc>
          <w:tcPr>
            <w:tcW w:w="434" w:type="pct"/>
            <w:vAlign w:val="center"/>
          </w:tcPr>
          <w:p>
            <w:pPr>
              <w:adjustRightInd w:val="0"/>
              <w:snapToGrid w:val="0"/>
              <w:spacing w:line="320" w:lineRule="exact"/>
              <w:jc w:val="center"/>
              <w:rPr>
                <w:rFonts w:ascii="方正仿宋_GBK" w:hAnsi="仿宋" w:eastAsia="方正仿宋_GBK"/>
                <w:sz w:val="24"/>
                <w:szCs w:val="24"/>
              </w:rPr>
            </w:pPr>
            <w:r>
              <w:rPr>
                <w:rFonts w:ascii="方正仿宋_GBK" w:hAnsi="仿宋" w:eastAsia="方正仿宋_GBK"/>
                <w:sz w:val="24"/>
                <w:szCs w:val="24"/>
              </w:rPr>
              <w:t>1</w:t>
            </w:r>
            <w:r>
              <w:rPr>
                <w:rFonts w:hint="eastAsia" w:ascii="方正仿宋_GBK" w:hAnsi="仿宋" w:eastAsia="方正仿宋_GBK"/>
                <w:sz w:val="24"/>
                <w:szCs w:val="24"/>
              </w:rPr>
              <w:t>0分</w:t>
            </w:r>
          </w:p>
        </w:tc>
        <w:tc>
          <w:tcPr>
            <w:tcW w:w="2391" w:type="pct"/>
            <w:vAlign w:val="center"/>
          </w:tcPr>
          <w:p>
            <w:p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1、提供2019年1月1日至今，污水处理设施运行维护服务医院业绩（二级医院及以上的），有一个得</w:t>
            </w:r>
            <w:r>
              <w:rPr>
                <w:rFonts w:ascii="方正仿宋_GBK" w:hAnsi="仿宋" w:eastAsia="方正仿宋_GBK"/>
                <w:sz w:val="24"/>
                <w:szCs w:val="24"/>
              </w:rPr>
              <w:t>4</w:t>
            </w:r>
            <w:r>
              <w:rPr>
                <w:rFonts w:hint="eastAsia" w:ascii="方正仿宋_GBK" w:hAnsi="仿宋" w:eastAsia="方正仿宋_GBK"/>
                <w:sz w:val="24"/>
                <w:szCs w:val="24"/>
              </w:rPr>
              <w:t>分，最多得</w:t>
            </w:r>
            <w:r>
              <w:rPr>
                <w:rFonts w:ascii="方正仿宋_GBK" w:hAnsi="仿宋" w:eastAsia="方正仿宋_GBK"/>
                <w:sz w:val="24"/>
                <w:szCs w:val="24"/>
              </w:rPr>
              <w:t>8</w:t>
            </w:r>
            <w:r>
              <w:rPr>
                <w:rFonts w:hint="eastAsia" w:ascii="方正仿宋_GBK" w:hAnsi="仿宋" w:eastAsia="方正仿宋_GBK"/>
                <w:sz w:val="24"/>
                <w:szCs w:val="24"/>
              </w:rPr>
              <w:t>分；</w:t>
            </w:r>
          </w:p>
          <w:p>
            <w:pPr>
              <w:adjustRightInd w:val="0"/>
              <w:snapToGrid w:val="0"/>
              <w:spacing w:line="320" w:lineRule="exact"/>
              <w:rPr>
                <w:rFonts w:ascii="方正仿宋_GBK" w:hAnsi="仿宋" w:eastAsia="方正仿宋_GBK"/>
                <w:sz w:val="24"/>
                <w:szCs w:val="24"/>
              </w:rPr>
            </w:pPr>
            <w:r>
              <w:rPr>
                <w:rFonts w:hint="eastAsia" w:ascii="方正仿宋_GBK" w:hAnsi="仿宋" w:eastAsia="方正仿宋_GBK"/>
                <w:sz w:val="24"/>
                <w:szCs w:val="24"/>
              </w:rPr>
              <w:t>2、提供污水工操作证，有一个得</w:t>
            </w:r>
            <w:r>
              <w:rPr>
                <w:rFonts w:ascii="方正仿宋_GBK" w:hAnsi="仿宋" w:eastAsia="方正仿宋_GBK"/>
                <w:sz w:val="24"/>
                <w:szCs w:val="24"/>
              </w:rPr>
              <w:t>1</w:t>
            </w:r>
            <w:r>
              <w:rPr>
                <w:rFonts w:hint="eastAsia" w:ascii="方正仿宋_GBK" w:hAnsi="仿宋" w:eastAsia="方正仿宋_GBK"/>
                <w:sz w:val="24"/>
                <w:szCs w:val="24"/>
              </w:rPr>
              <w:t>分，最多得</w:t>
            </w:r>
            <w:r>
              <w:rPr>
                <w:rFonts w:ascii="方正仿宋_GBK" w:hAnsi="仿宋" w:eastAsia="方正仿宋_GBK"/>
                <w:sz w:val="24"/>
                <w:szCs w:val="24"/>
              </w:rPr>
              <w:t>2</w:t>
            </w:r>
            <w:r>
              <w:rPr>
                <w:rFonts w:hint="eastAsia" w:ascii="方正仿宋_GBK" w:hAnsi="仿宋" w:eastAsia="方正仿宋_GBK"/>
                <w:sz w:val="24"/>
                <w:szCs w:val="24"/>
              </w:rPr>
              <w:t>分。</w:t>
            </w:r>
          </w:p>
        </w:tc>
        <w:tc>
          <w:tcPr>
            <w:tcW w:w="869" w:type="pct"/>
            <w:vAlign w:val="center"/>
          </w:tcPr>
          <w:p>
            <w:pPr>
              <w:adjustRightInd w:val="0"/>
              <w:snapToGrid w:val="0"/>
              <w:spacing w:line="320" w:lineRule="exact"/>
              <w:jc w:val="left"/>
              <w:rPr>
                <w:rFonts w:ascii="方正仿宋_GBK" w:hAnsi="仿宋" w:eastAsia="方正仿宋_GBK"/>
                <w:sz w:val="24"/>
                <w:szCs w:val="24"/>
              </w:rPr>
            </w:pPr>
            <w:r>
              <w:rPr>
                <w:rFonts w:hint="eastAsia" w:ascii="方正仿宋_GBK" w:hAnsi="仿宋" w:eastAsia="方正仿宋_GBK"/>
                <w:sz w:val="24"/>
                <w:szCs w:val="24"/>
              </w:rPr>
              <w:t>提供业绩合同或中标通知书、操作证复印件</w:t>
            </w:r>
          </w:p>
        </w:tc>
      </w:tr>
      <w:bookmarkEnd w:id="0"/>
      <w:bookmarkEnd w:id="1"/>
      <w:bookmarkEnd w:id="2"/>
    </w:tbl>
    <w:p>
      <w:pPr>
        <w:snapToGrid w:val="0"/>
        <w:spacing w:line="560" w:lineRule="exact"/>
        <w:ind w:left="567" w:leftChars="270"/>
        <w:rPr>
          <w:rFonts w:ascii="方正仿宋_GBK" w:hAnsi="宋体" w:eastAsia="方正仿宋_GBK" w:cs="仿宋_GB2312"/>
          <w:bCs/>
          <w:sz w:val="28"/>
          <w:szCs w:val="28"/>
        </w:rPr>
      </w:pPr>
      <w:r>
        <w:rPr>
          <w:rFonts w:ascii="方正仿宋_GBK" w:hAnsi="宋体" w:eastAsia="方正仿宋_GBK" w:cs="仿宋_GB2312"/>
          <w:bCs/>
          <w:sz w:val="28"/>
          <w:szCs w:val="28"/>
        </w:rPr>
        <w:t>3</w:t>
      </w:r>
      <w:r>
        <w:rPr>
          <w:rFonts w:hint="eastAsia" w:ascii="方正仿宋_GBK" w:hAnsi="宋体" w:eastAsia="方正仿宋_GBK" w:cs="仿宋_GB2312"/>
          <w:bCs/>
          <w:sz w:val="28"/>
          <w:szCs w:val="28"/>
        </w:rPr>
        <w:t>、竞标人得分：竞标人得分=A+B+C。</w:t>
      </w:r>
    </w:p>
    <w:p>
      <w:pPr>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采用以上方法确认中标人，得分最高为第一中标候选人，按得分由高到低排序确定前三名中标候选人，若得分相同时，比选人将选择总报价低的为第一中标候选人。</w:t>
      </w:r>
    </w:p>
    <w:p>
      <w:pPr>
        <w:snapToGrid w:val="0"/>
        <w:spacing w:line="560" w:lineRule="exact"/>
        <w:ind w:firstLine="560" w:firstLineChars="200"/>
        <w:rPr>
          <w:rFonts w:ascii="方正仿宋_GBK" w:hAnsi="宋体" w:eastAsia="方正仿宋_GBK" w:cs="仿宋_GB2312"/>
          <w:bCs/>
          <w:sz w:val="28"/>
          <w:szCs w:val="28"/>
        </w:rPr>
      </w:pPr>
      <w:r>
        <w:rPr>
          <w:rFonts w:ascii="方正仿宋_GBK" w:hAnsi="宋体" w:eastAsia="方正仿宋_GBK" w:cs="仿宋_GB2312"/>
          <w:bCs/>
          <w:sz w:val="28"/>
          <w:szCs w:val="28"/>
        </w:rPr>
        <w:t>4</w:t>
      </w:r>
      <w:r>
        <w:rPr>
          <w:rFonts w:hint="eastAsia" w:ascii="方正仿宋_GBK" w:hAnsi="宋体" w:eastAsia="方正仿宋_GBK" w:cs="仿宋_GB2312"/>
          <w:bCs/>
          <w:sz w:val="28"/>
          <w:szCs w:val="28"/>
        </w:rPr>
        <w:t>、评审依据：</w:t>
      </w:r>
    </w:p>
    <w:p>
      <w:pPr>
        <w:snapToGrid w:val="0"/>
        <w:spacing w:line="560" w:lineRule="exact"/>
        <w:ind w:firstLine="560" w:firstLineChars="200"/>
        <w:rPr>
          <w:rFonts w:ascii="方正仿宋_GBK" w:hAnsi="宋体" w:eastAsia="方正仿宋_GBK" w:cs="Times New Roman"/>
          <w:color w:val="FF0000"/>
          <w:sz w:val="28"/>
          <w:szCs w:val="20"/>
        </w:rPr>
      </w:pPr>
      <w:r>
        <w:rPr>
          <w:rFonts w:hint="eastAsia" w:ascii="方正仿宋_GBK" w:hAnsi="宋体" w:eastAsia="方正仿宋_GBK" w:cs="仿宋_GB2312"/>
          <w:bCs/>
          <w:sz w:val="28"/>
          <w:szCs w:val="28"/>
        </w:rPr>
        <w:t>评审的依据为竞标文件，比选小组判断竞标文件对竞争性比选文件的响应仅基于竞标文件本身而不靠外部证据。</w:t>
      </w:r>
    </w:p>
    <w:p>
      <w:pPr>
        <w:snapToGrid w:val="0"/>
        <w:spacing w:line="560" w:lineRule="exact"/>
        <w:ind w:firstLine="573"/>
        <w:rPr>
          <w:rFonts w:ascii="方正仿宋_GBK" w:hAnsi="宋体" w:eastAsia="方正仿宋_GBK" w:cs="Times New Roman"/>
          <w:sz w:val="28"/>
          <w:szCs w:val="20"/>
        </w:rPr>
      </w:pPr>
      <w:r>
        <w:rPr>
          <w:rFonts w:ascii="方正仿宋_GBK" w:hAnsi="宋体" w:eastAsia="方正仿宋_GBK" w:cs="Times New Roman"/>
          <w:color w:val="000000" w:themeColor="text1"/>
          <w:sz w:val="28"/>
          <w:szCs w:val="20"/>
          <w14:textFill>
            <w14:solidFill>
              <w14:schemeClr w14:val="tx1"/>
            </w14:solidFill>
          </w14:textFill>
        </w:rPr>
        <w:t>5</w:t>
      </w:r>
      <w:r>
        <w:rPr>
          <w:rFonts w:hint="eastAsia" w:ascii="方正仿宋_GBK" w:hAnsi="宋体" w:eastAsia="方正仿宋_GBK" w:cs="Times New Roman"/>
          <w:color w:val="000000" w:themeColor="text1"/>
          <w:sz w:val="28"/>
          <w:szCs w:val="20"/>
          <w14:textFill>
            <w14:solidFill>
              <w14:schemeClr w14:val="tx1"/>
            </w14:solidFill>
          </w14:textFill>
        </w:rPr>
        <w:t>、评标结果：按不低于三名中标候选人进行比选。比选按评标办法选择第一中标候选人，在公示结束后无异议，第一中标候选人即为中标人。</w:t>
      </w:r>
    </w:p>
    <w:p>
      <w:pPr>
        <w:snapToGrid w:val="0"/>
        <w:spacing w:line="560" w:lineRule="exact"/>
        <w:ind w:firstLine="573"/>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八、联系方式</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采购单位：</w:t>
      </w:r>
      <w:r>
        <w:rPr>
          <w:rFonts w:hint="eastAsia" w:ascii="方正仿宋_GBK" w:hAnsi="宋体" w:eastAsia="方正仿宋_GBK" w:cs="Times New Roman"/>
          <w:sz w:val="28"/>
          <w:szCs w:val="28"/>
        </w:rPr>
        <w:t>重庆市中医骨科医院</w:t>
      </w:r>
      <w:r>
        <w:rPr>
          <w:rFonts w:hint="eastAsia" w:ascii="方正仿宋_GBK" w:hAnsi="宋体" w:eastAsia="方正仿宋_GBK" w:cs="Times New Roman"/>
          <w:color w:val="000000"/>
          <w:sz w:val="28"/>
          <w:szCs w:val="20"/>
        </w:rPr>
        <w:t>。</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联系人：任老师</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电话：（023）63931178，18623360096</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sz w:val="28"/>
          <w:szCs w:val="20"/>
        </w:rPr>
        <w:t>地址：</w:t>
      </w:r>
      <w:r>
        <w:rPr>
          <w:rFonts w:hint="eastAsia" w:ascii="方正仿宋_GBK" w:hAnsi="宋体" w:eastAsia="方正仿宋_GBK" w:cs="Times New Roman"/>
          <w:color w:val="000000" w:themeColor="text1"/>
          <w:sz w:val="28"/>
          <w:szCs w:val="20"/>
          <w14:textFill>
            <w14:solidFill>
              <w14:schemeClr w14:val="tx1"/>
            </w14:solidFill>
          </w14:textFill>
        </w:rPr>
        <w:t>渝中区解放西路9号</w:t>
      </w:r>
      <w:r>
        <w:rPr>
          <w:rFonts w:ascii="方正仿宋_GBK" w:hAnsi="宋体" w:eastAsia="方正仿宋_GBK" w:cs="Times New Roman"/>
          <w:color w:val="000000" w:themeColor="text1"/>
          <w:sz w:val="28"/>
          <w:szCs w:val="20"/>
          <w14:textFill>
            <w14:solidFill>
              <w14:schemeClr w14:val="tx1"/>
            </w14:solidFill>
          </w14:textFill>
        </w:rPr>
        <w:br w:type="page"/>
      </w:r>
    </w:p>
    <w:p>
      <w:pPr>
        <w:tabs>
          <w:tab w:val="left" w:pos="6300"/>
        </w:tabs>
        <w:snapToGrid w:val="0"/>
        <w:spacing w:line="480" w:lineRule="exact"/>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附件1</w:t>
      </w:r>
    </w:p>
    <w:p>
      <w:pPr>
        <w:tabs>
          <w:tab w:val="left" w:pos="6300"/>
        </w:tabs>
        <w:snapToGrid w:val="0"/>
        <w:spacing w:line="480" w:lineRule="exact"/>
        <w:outlineLvl w:val="0"/>
        <w:rPr>
          <w:rFonts w:ascii="方正仿宋_GBK" w:hAnsi="宋体" w:eastAsia="方正仿宋_GBK"/>
          <w:color w:val="000000" w:themeColor="text1"/>
          <w:sz w:val="32"/>
          <w:szCs w:val="32"/>
          <w14:textFill>
            <w14:solidFill>
              <w14:schemeClr w14:val="tx1"/>
            </w14:solidFill>
          </w14:textFill>
        </w:rPr>
      </w:pPr>
    </w:p>
    <w:p>
      <w:pPr>
        <w:tabs>
          <w:tab w:val="left" w:pos="6300"/>
        </w:tabs>
        <w:snapToGrid w:val="0"/>
        <w:spacing w:line="480" w:lineRule="exact"/>
        <w:jc w:val="center"/>
        <w:outlineLvl w:val="0"/>
        <w:rPr>
          <w:rFonts w:ascii="方正仿宋_GBK" w:hAnsi="宋体" w:eastAsia="方正仿宋_GBK"/>
          <w:b/>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重庆市中医骨科医院污水处理设施运营维护服务运营要求</w:t>
      </w:r>
    </w:p>
    <w:p>
      <w:pPr>
        <w:tabs>
          <w:tab w:val="left" w:pos="6300"/>
        </w:tabs>
        <w:snapToGrid w:val="0"/>
        <w:spacing w:line="480" w:lineRule="exact"/>
        <w:jc w:val="center"/>
        <w:outlineLvl w:val="0"/>
        <w:rPr>
          <w:rFonts w:ascii="方正仿宋_GBK" w:hAnsi="宋体" w:eastAsia="方正仿宋_GBK"/>
          <w:b/>
          <w:color w:val="000000" w:themeColor="text1"/>
          <w:sz w:val="32"/>
          <w:szCs w:val="32"/>
          <w14:textFill>
            <w14:solidFill>
              <w14:schemeClr w14:val="tx1"/>
            </w14:solidFill>
          </w14:textFill>
        </w:rPr>
      </w:pP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一、项目概况：</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本次采购的内容为重庆市中医骨科医院两座污水处理站污水处理设施运营维护服务项目：</w:t>
      </w:r>
    </w:p>
    <w:p>
      <w:pPr>
        <w:numPr>
          <w:ilvl w:val="0"/>
          <w:numId w:val="2"/>
        </w:num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较场口院区污水站，位于重庆市渝中区新华路489号,环保批准日污水排放＜</w:t>
      </w:r>
      <w:r>
        <w:rPr>
          <w:rFonts w:ascii="方正仿宋_GBK" w:hAnsi="仿宋" w:eastAsia="方正仿宋_GBK" w:cs="仿宋"/>
          <w:kern w:val="0"/>
          <w:sz w:val="28"/>
          <w:szCs w:val="28"/>
        </w:rPr>
        <w:t>25</w:t>
      </w:r>
      <w:r>
        <w:rPr>
          <w:rFonts w:hint="eastAsia" w:ascii="方正仿宋_GBK" w:hAnsi="仿宋" w:eastAsia="方正仿宋_GBK" w:cs="仿宋"/>
          <w:kern w:val="0"/>
          <w:sz w:val="28"/>
          <w:szCs w:val="28"/>
        </w:rPr>
        <w:t>m</w:t>
      </w:r>
      <w:r>
        <w:rPr>
          <w:rFonts w:ascii="Cambria" w:hAnsi="Cambria" w:eastAsia="方正仿宋_GBK" w:cs="Cambria"/>
          <w:kern w:val="0"/>
          <w:sz w:val="28"/>
          <w:szCs w:val="28"/>
        </w:rPr>
        <w:t>³</w:t>
      </w:r>
      <w:r>
        <w:rPr>
          <w:rFonts w:hint="eastAsia" w:ascii="方正仿宋_GBK" w:hAnsi="仿宋" w:eastAsia="方正仿宋_GBK" w:cs="仿宋"/>
          <w:kern w:val="0"/>
          <w:sz w:val="28"/>
          <w:szCs w:val="28"/>
        </w:rPr>
        <w:t>/d（实际排放量以现场勘查为准）；</w:t>
      </w:r>
    </w:p>
    <w:p>
      <w:pPr>
        <w:numPr>
          <w:ilvl w:val="0"/>
          <w:numId w:val="2"/>
        </w:num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储奇门院区污水站，位于重庆市渝中区解放</w:t>
      </w:r>
      <w:r>
        <w:rPr>
          <w:rFonts w:hint="eastAsia" w:ascii="方正仿宋_GBK" w:hAnsi="仿宋" w:eastAsia="方正仿宋_GBK"/>
          <w:sz w:val="28"/>
          <w:szCs w:val="28"/>
        </w:rPr>
        <w:t>西路9</w:t>
      </w:r>
      <w:r>
        <w:rPr>
          <w:rFonts w:hint="eastAsia" w:ascii="方正仿宋_GBK" w:hAnsi="仿宋" w:eastAsia="方正仿宋_GBK" w:cs="仿宋"/>
          <w:kern w:val="0"/>
          <w:sz w:val="28"/>
          <w:szCs w:val="28"/>
        </w:rPr>
        <w:t>号，环保批准日污水排放＜</w:t>
      </w:r>
      <w:r>
        <w:rPr>
          <w:rFonts w:ascii="方正仿宋_GBK" w:hAnsi="仿宋" w:eastAsia="方正仿宋_GBK" w:cs="仿宋"/>
          <w:kern w:val="0"/>
          <w:sz w:val="28"/>
          <w:szCs w:val="28"/>
        </w:rPr>
        <w:t>200</w:t>
      </w:r>
      <w:r>
        <w:rPr>
          <w:rFonts w:hint="eastAsia" w:ascii="方正仿宋_GBK" w:hAnsi="仿宋" w:eastAsia="方正仿宋_GBK" w:cs="仿宋"/>
          <w:kern w:val="0"/>
          <w:sz w:val="28"/>
          <w:szCs w:val="28"/>
        </w:rPr>
        <w:t>m</w:t>
      </w:r>
      <w:r>
        <w:rPr>
          <w:rFonts w:ascii="Cambria" w:hAnsi="Cambria" w:eastAsia="方正仿宋_GBK" w:cs="Cambria"/>
          <w:kern w:val="0"/>
          <w:sz w:val="28"/>
          <w:szCs w:val="28"/>
        </w:rPr>
        <w:t>³</w:t>
      </w:r>
      <w:r>
        <w:rPr>
          <w:rFonts w:hint="eastAsia" w:ascii="方正仿宋_GBK" w:hAnsi="仿宋" w:eastAsia="方正仿宋_GBK" w:cs="仿宋"/>
          <w:kern w:val="0"/>
          <w:sz w:val="28"/>
          <w:szCs w:val="28"/>
        </w:rPr>
        <w:t>/d（实际排放量以现场勘查为准）。</w:t>
      </w:r>
    </w:p>
    <w:p>
      <w:pPr>
        <w:numPr>
          <w:ilvl w:val="0"/>
          <w:numId w:val="2"/>
        </w:num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消毒工艺：采用盐酸、氯酸钠混合药液，由二氧化氯发生器现场制作消毒。</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二、项目要求</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1.运营管理内容及要求</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运营管理内容：</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24小时值班值守，污水站设施设备日常运行维护管理、废水的日常监测，污水站内化粪池粪渣</w:t>
      </w:r>
      <w:r>
        <w:rPr>
          <w:rFonts w:hint="eastAsia" w:ascii="方正仿宋_GBK" w:hAnsi="仿宋" w:eastAsia="方正仿宋_GBK" w:cs="仿宋"/>
          <w:color w:val="000000" w:themeColor="text1"/>
          <w:kern w:val="0"/>
          <w:sz w:val="28"/>
          <w:szCs w:val="28"/>
          <w14:textFill>
            <w14:solidFill>
              <w14:schemeClr w14:val="tx1"/>
            </w14:solidFill>
          </w14:textFill>
        </w:rPr>
        <w:t>污泥清掏、消毒清运</w:t>
      </w:r>
      <w:bookmarkStart w:id="3" w:name="_Hlk85012468"/>
      <w:r>
        <w:rPr>
          <w:rFonts w:hint="eastAsia" w:ascii="方正仿宋_GBK" w:hAnsi="仿宋" w:eastAsia="方正仿宋_GBK" w:cs="仿宋"/>
          <w:color w:val="000000" w:themeColor="text1"/>
          <w:kern w:val="0"/>
          <w:sz w:val="28"/>
          <w:szCs w:val="28"/>
          <w14:textFill>
            <w14:solidFill>
              <w14:schemeClr w14:val="tx1"/>
            </w14:solidFill>
          </w14:textFill>
        </w:rPr>
        <w:t>（如属危废、交由采购人处理）</w:t>
      </w:r>
      <w:bookmarkEnd w:id="3"/>
      <w:r>
        <w:rPr>
          <w:rFonts w:hint="eastAsia" w:ascii="方正仿宋_GBK" w:hAnsi="仿宋" w:eastAsia="方正仿宋_GBK" w:cs="仿宋"/>
          <w:color w:val="000000" w:themeColor="text1"/>
          <w:kern w:val="0"/>
          <w:sz w:val="28"/>
          <w:szCs w:val="28"/>
          <w14:textFill>
            <w14:solidFill>
              <w14:schemeClr w14:val="tx1"/>
            </w14:solidFill>
          </w14:textFill>
        </w:rPr>
        <w:t>；调节池渣物捞取，水</w:t>
      </w:r>
      <w:r>
        <w:rPr>
          <w:rFonts w:hint="eastAsia" w:ascii="方正仿宋_GBK" w:hAnsi="仿宋" w:eastAsia="方正仿宋_GBK" w:cs="仿宋"/>
          <w:kern w:val="0"/>
          <w:sz w:val="28"/>
          <w:szCs w:val="28"/>
        </w:rPr>
        <w:t>解酸化池渣物捞取；反冲滤砂沉淀池，冲洗消毒池、出水池、流量槽等。</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运营管理要求：</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（1）污水站全年无安全事故。</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（2）污水站设备管理操作员，持证上岗，着工作服上岗，24小时值守，按国家、行业、行政主管部门及采购人要求，每日取水监测不少于三次(白天不少于二次，夜间一次)，并有详细台帐记录。</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（3）中标人专业技术人员每周到采购人项目两个污水站巡察及技术指导不低于两次，中标人行政管理人员每半月例行工作检查不低于一次，与采购人主管部门沟通交流不低于一次。</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（4）按照行政主管部门、采购人要求，按时投药、加药，定期、定时进行余氯、PH检测，确保污水达标排放。</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（5）定期开展培训教育学习和总结运行管理工作，每月以书面形式向采购人递交该项目人员培训记录及运行管理工作报告。</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（6）协助采购人按照要求及时填报全国排污许可证管理平台、重庆市污染源监测数据发布平台数据信息以及生态环境管理局要求的其他类信息填报。</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（7）有完善的管理制度、应急预案，定期组织应急演练。</w:t>
      </w:r>
    </w:p>
    <w:p>
      <w:pPr>
        <w:spacing w:line="560" w:lineRule="exact"/>
        <w:ind w:firstLine="560" w:firstLineChars="200"/>
        <w:rPr>
          <w:rFonts w:ascii="方正仿宋_GBK" w:hAnsi="仿宋" w:eastAsia="方正仿宋_GBK" w:cs="仿宋"/>
          <w:color w:val="000000" w:themeColor="text1"/>
          <w:kern w:val="0"/>
          <w:sz w:val="28"/>
          <w:szCs w:val="28"/>
          <w14:textFill>
            <w14:solidFill>
              <w14:schemeClr w14:val="tx1"/>
            </w14:solidFill>
          </w14:textFill>
        </w:rPr>
      </w:pPr>
      <w:r>
        <w:rPr>
          <w:rFonts w:hint="eastAsia" w:ascii="方正仿宋_GBK" w:hAnsi="仿宋" w:eastAsia="方正仿宋_GBK" w:cs="仿宋"/>
          <w:color w:val="000000" w:themeColor="text1"/>
          <w:kern w:val="0"/>
          <w:sz w:val="28"/>
          <w:szCs w:val="28"/>
          <w14:textFill>
            <w14:solidFill>
              <w14:schemeClr w14:val="tx1"/>
            </w14:solidFill>
          </w14:textFill>
        </w:rPr>
        <w:t>（8）每半年对化粪池进行清掏（池内污物多时随时清掏），清掏人员、污物转运及处置由中标人负责（如属危废、交由采购人处理）。</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（9）配合采购人做好各项检查、督查迎检工作。</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2.维护维保内容及要求</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（1）设施设备的日常运行维护及保养。</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设施：污水站各功能池，各功能房；</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设备：曝气风机、二氧化氯发生器、电器控制柜等设备（不含在线监测设备）。</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（2）耗材：盐酸、氯酸钠等所有耗材、药剂等由中标人提供，中标人应按照规范要求采购、暂存并投放，确保污水达标排放。。</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（3）每天24小时开机运行。</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（4）两座污水站需派持证上岗的专人值守管理。</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（5）中标人应取得危化品采购资格，具备完善手续，做好危化品采购、运输、暂存、使用等全流程管理，做好购买、使用台账，相关资料整理定期交采购人存档。</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6）密切关注设备运行情况及指标是否正常，设备出现故障或指标显示异常，值班人员应立即启动相应应急预案进行应急处置，确保污水达标排放；故障设备应及时报修，维修人员应1小时内到达现场进行维修。当天不能维修完毕的，落实责任人限期整改，及时报采购人，并采取应急措施。</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（7）设备维护维保过程中，需要更换配件及材料的，200元以下由中标人免费提供，200元以上需报采购人审核后由采购人承担。</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3.质量安全要求</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（1）污水处理站设施设备维修维护到位，运行正常。</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（2）按行业规范要求运行管理，各项运行维护管理记录资料齐全。</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（3）污水处理设施运营及排放达到《医疗机构水污染标准GB18466-2005》规定的预处理标准、疾控、环保等行政主管部门管理要求，现场管理、操作规范符合行政主管部门及采购人要求。</w:t>
      </w:r>
    </w:p>
    <w:p>
      <w:pPr>
        <w:numPr>
          <w:ilvl w:val="255"/>
          <w:numId w:val="0"/>
        </w:num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4.其他要求</w:t>
      </w:r>
    </w:p>
    <w:p>
      <w:pPr>
        <w:adjustRightInd w:val="0"/>
        <w:snapToGrid w:val="0"/>
        <w:spacing w:line="560" w:lineRule="exact"/>
        <w:ind w:firstLine="560" w:firstLineChars="200"/>
        <w:rPr>
          <w:rFonts w:ascii="方正仿宋_GBK" w:hAnsi="仿宋" w:eastAsia="方正仿宋_GBK" w:cs="仿宋"/>
          <w:kern w:val="0"/>
          <w:sz w:val="28"/>
          <w:szCs w:val="28"/>
        </w:rPr>
      </w:pPr>
      <w:r>
        <w:rPr>
          <w:rFonts w:hint="eastAsia" w:ascii="方正仿宋_GBK" w:hAnsi="宋体" w:eastAsia="方正仿宋_GBK"/>
          <w:sz w:val="28"/>
          <w:szCs w:val="28"/>
        </w:rPr>
        <w:t>（1）</w:t>
      </w:r>
      <w:r>
        <w:rPr>
          <w:rFonts w:hint="eastAsia" w:ascii="方正仿宋_GBK" w:hAnsi="仿宋" w:eastAsia="方正仿宋_GBK" w:cs="仿宋"/>
          <w:kern w:val="0"/>
          <w:sz w:val="28"/>
          <w:szCs w:val="28"/>
        </w:rPr>
        <w:t>中标人自行负责其招聘员工的一切工资、福利以及保险费用等；采购人不再支付任何费用。如发生工伤、疾病乃至死亡的一切责任及费用由中标人全部负责；中标人应严格遵守国家有关的法律、法规及行业标准。</w:t>
      </w:r>
    </w:p>
    <w:p>
      <w:pPr>
        <w:adjustRightInd w:val="0"/>
        <w:snapToGrid w:val="0"/>
        <w:spacing w:line="56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中标人需购买公众责任险和员工的意外保险等。若发生工伤、安全事故等，责任由中标人承担。因中标人工作人员的原因，导致发生工伤、安全事故、医疗纠纷等，引起法律、经济责任的，由中标人承担全部责任。</w:t>
      </w:r>
    </w:p>
    <w:p>
      <w:pPr>
        <w:tabs>
          <w:tab w:val="left" w:pos="6300"/>
        </w:tabs>
        <w:snapToGrid w:val="0"/>
        <w:spacing w:line="56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（3）服务期内必须服从采购人管理，严格执行采购人各项规章制度。</w:t>
      </w:r>
    </w:p>
    <w:p>
      <w:pPr>
        <w:widowControl/>
        <w:jc w:val="left"/>
        <w:rPr>
          <w:rFonts w:ascii="方正仿宋_GBK" w:eastAsia="方正仿宋_GBK" w:hAnsiTheme="minorEastAsia"/>
          <w:color w:val="000000" w:themeColor="text1"/>
          <w:sz w:val="32"/>
          <w:szCs w:val="32"/>
          <w14:textFill>
            <w14:solidFill>
              <w14:schemeClr w14:val="tx1"/>
            </w14:solidFill>
          </w14:textFill>
        </w:rPr>
      </w:pPr>
      <w:r>
        <w:rPr>
          <w:rFonts w:ascii="方正仿宋_GBK" w:hAnsi="宋体" w:eastAsia="方正仿宋_GBK"/>
          <w:color w:val="000000"/>
          <w:sz w:val="28"/>
          <w:szCs w:val="28"/>
        </w:rPr>
        <w:br w:type="page"/>
      </w:r>
    </w:p>
    <w:p>
      <w:pPr>
        <w:tabs>
          <w:tab w:val="left" w:pos="6300"/>
        </w:tabs>
        <w:snapToGrid w:val="0"/>
        <w:spacing w:line="480" w:lineRule="exact"/>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附件</w:t>
      </w:r>
      <w:r>
        <w:rPr>
          <w:rFonts w:ascii="方正仿宋_GBK" w:hAnsi="宋体" w:eastAsia="方正仿宋_GBK"/>
          <w:color w:val="000000" w:themeColor="text1"/>
          <w:sz w:val="32"/>
          <w:szCs w:val="32"/>
          <w14:textFill>
            <w14:solidFill>
              <w14:schemeClr w14:val="tx1"/>
            </w14:solidFill>
          </w14:textFill>
        </w:rPr>
        <w:t>2</w:t>
      </w:r>
    </w:p>
    <w:p>
      <w:pPr>
        <w:tabs>
          <w:tab w:val="left" w:pos="6300"/>
        </w:tabs>
        <w:snapToGrid w:val="0"/>
        <w:spacing w:line="480" w:lineRule="exact"/>
        <w:outlineLvl w:val="0"/>
        <w:rPr>
          <w:rFonts w:ascii="方正仿宋_GBK" w:hAnsi="宋体" w:eastAsia="方正仿宋_GBK"/>
          <w:color w:val="000000" w:themeColor="text1"/>
          <w:sz w:val="32"/>
          <w:szCs w:val="32"/>
          <w14:textFill>
            <w14:solidFill>
              <w14:schemeClr w14:val="tx1"/>
            </w14:solidFill>
          </w14:textFill>
        </w:rPr>
      </w:pPr>
    </w:p>
    <w:p>
      <w:pPr>
        <w:tabs>
          <w:tab w:val="left" w:pos="6300"/>
        </w:tabs>
        <w:snapToGrid w:val="0"/>
        <w:spacing w:line="480" w:lineRule="exact"/>
        <w:jc w:val="center"/>
        <w:outlineLvl w:val="0"/>
        <w:rPr>
          <w:rFonts w:ascii="方正仿宋_GBK" w:hAnsi="宋体" w:eastAsia="方正仿宋_GBK"/>
          <w:b/>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重庆市中医骨科医院污水处理设施运营维护服务商务要求</w:t>
      </w:r>
    </w:p>
    <w:p>
      <w:pPr>
        <w:spacing w:line="360" w:lineRule="auto"/>
        <w:rPr>
          <w:rFonts w:ascii="仿宋" w:hAnsi="仿宋" w:eastAsia="仿宋" w:cs="仿宋"/>
          <w:b/>
          <w:bCs/>
          <w:kern w:val="0"/>
          <w:sz w:val="24"/>
        </w:rPr>
      </w:pPr>
    </w:p>
    <w:p>
      <w:pPr>
        <w:pStyle w:val="17"/>
        <w:numPr>
          <w:ilvl w:val="0"/>
          <w:numId w:val="3"/>
        </w:numPr>
        <w:spacing w:line="560" w:lineRule="exact"/>
        <w:ind w:left="0" w:firstLine="562"/>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项目说明</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bCs/>
          <w:kern w:val="0"/>
          <w:sz w:val="28"/>
          <w:szCs w:val="28"/>
        </w:rPr>
        <w:t>1、</w:t>
      </w:r>
      <w:r>
        <w:rPr>
          <w:rFonts w:hint="eastAsia" w:ascii="方正仿宋_GBK" w:hAnsi="仿宋" w:eastAsia="方正仿宋_GBK" w:cs="仿宋"/>
          <w:kern w:val="0"/>
          <w:sz w:val="28"/>
          <w:szCs w:val="28"/>
        </w:rPr>
        <w:t>储奇门院区预计2022年搬迁，储奇门院区污水处理设施将会暂停，暂停时间以甲方书面通知为准，暂停期间不收取储奇门院区</w:t>
      </w:r>
      <w:r>
        <w:rPr>
          <w:rFonts w:hint="eastAsia" w:ascii="方正仿宋_GBK" w:hAnsi="宋体" w:eastAsia="方正仿宋_GBK"/>
          <w:color w:val="000000" w:themeColor="text1"/>
          <w:sz w:val="28"/>
          <w:szCs w:val="28"/>
          <w14:textFill>
            <w14:solidFill>
              <w14:schemeClr w14:val="tx1"/>
            </w14:solidFill>
          </w14:textFill>
        </w:rPr>
        <w:t>运营维护</w:t>
      </w:r>
      <w:r>
        <w:rPr>
          <w:rFonts w:hint="eastAsia" w:ascii="方正仿宋_GBK" w:hAnsi="仿宋" w:eastAsia="方正仿宋_GBK" w:cs="仿宋"/>
          <w:kern w:val="0"/>
          <w:sz w:val="28"/>
          <w:szCs w:val="28"/>
        </w:rPr>
        <w:t>服务费，</w:t>
      </w:r>
      <w:r>
        <w:rPr>
          <w:rFonts w:hint="eastAsia" w:ascii="方正仿宋_GBK" w:hAnsi="宋体" w:eastAsia="方正仿宋_GBK"/>
          <w:color w:val="000000" w:themeColor="text1"/>
          <w:sz w:val="28"/>
          <w:szCs w:val="28"/>
          <w14:textFill>
            <w14:solidFill>
              <w14:schemeClr w14:val="tx1"/>
            </w14:solidFill>
          </w14:textFill>
        </w:rPr>
        <w:t>运营维护</w:t>
      </w:r>
      <w:r>
        <w:rPr>
          <w:rFonts w:hint="eastAsia" w:ascii="方正仿宋_GBK" w:hAnsi="仿宋" w:eastAsia="方正仿宋_GBK" w:cs="仿宋"/>
          <w:kern w:val="0"/>
          <w:sz w:val="28"/>
          <w:szCs w:val="28"/>
        </w:rPr>
        <w:t>服务费按实际运营时间计算，不满一个月的按每月运营</w:t>
      </w:r>
      <w:r>
        <w:rPr>
          <w:rFonts w:hint="eastAsia" w:ascii="方正仿宋_GBK" w:hAnsi="宋体" w:eastAsia="方正仿宋_GBK"/>
          <w:color w:val="000000" w:themeColor="text1"/>
          <w:sz w:val="28"/>
          <w:szCs w:val="28"/>
          <w14:textFill>
            <w14:solidFill>
              <w14:schemeClr w14:val="tx1"/>
            </w14:solidFill>
          </w14:textFill>
        </w:rPr>
        <w:t>维护</w:t>
      </w:r>
      <w:r>
        <w:rPr>
          <w:rFonts w:hint="eastAsia" w:ascii="方正仿宋_GBK" w:hAnsi="仿宋" w:eastAsia="方正仿宋_GBK" w:cs="仿宋"/>
          <w:kern w:val="0"/>
          <w:sz w:val="28"/>
          <w:szCs w:val="28"/>
        </w:rPr>
        <w:t>服务费用/30×实际运营天数计算。</w:t>
      </w:r>
    </w:p>
    <w:p>
      <w:pPr>
        <w:spacing w:line="560" w:lineRule="exact"/>
        <w:ind w:firstLine="560" w:firstLineChars="200"/>
        <w:rPr>
          <w:rFonts w:ascii="方正仿宋_GBK" w:eastAsia="方正仿宋_GBK"/>
          <w:sz w:val="28"/>
          <w:szCs w:val="28"/>
        </w:rPr>
      </w:pPr>
      <w:r>
        <w:rPr>
          <w:rFonts w:hint="eastAsia" w:ascii="方正仿宋_GBK" w:eastAsia="方正仿宋_GBK"/>
          <w:bCs/>
          <w:sz w:val="28"/>
          <w:szCs w:val="28"/>
        </w:rPr>
        <w:t>2、</w:t>
      </w:r>
      <w:r>
        <w:rPr>
          <w:rFonts w:hint="eastAsia" w:ascii="方正仿宋_GBK" w:eastAsia="方正仿宋_GBK"/>
          <w:sz w:val="28"/>
          <w:szCs w:val="28"/>
        </w:rPr>
        <w:t>根据《根据医疗机构排污许可证申请与核发技术规范》（HJ 1105-2020）、《医疗机构水污染物排放标准》GB18466-2005，我院两座污水处理站的污水监测指标中的流量、PH值、悬浮物、化学需氧量、粪大肠菌群数、五日生化需氧量、石油类、挥发酚、动植物油、阴离子表面活性剂、总氰化物、色度、氨氮、总余氯监测频次均为1次/季，两处一年共检测</w:t>
      </w:r>
      <w:r>
        <w:rPr>
          <w:rFonts w:ascii="方正仿宋_GBK" w:eastAsia="方正仿宋_GBK"/>
          <w:sz w:val="28"/>
          <w:szCs w:val="28"/>
        </w:rPr>
        <w:t>8</w:t>
      </w:r>
      <w:r>
        <w:rPr>
          <w:rFonts w:hint="eastAsia" w:ascii="方正仿宋_GBK" w:eastAsia="方正仿宋_GBK"/>
          <w:sz w:val="28"/>
          <w:szCs w:val="28"/>
        </w:rPr>
        <w:t>次，污水处理站周界废气监测指标中的甲烷、臭气浓度、氨、氯、硫化氢监测频次均为1次/季，两处一年共检测</w:t>
      </w:r>
      <w:r>
        <w:rPr>
          <w:rFonts w:ascii="方正仿宋_GBK" w:eastAsia="方正仿宋_GBK"/>
          <w:sz w:val="28"/>
          <w:szCs w:val="28"/>
        </w:rPr>
        <w:t>8</w:t>
      </w:r>
      <w:r>
        <w:rPr>
          <w:rFonts w:hint="eastAsia" w:ascii="方正仿宋_GBK" w:eastAsia="方正仿宋_GBK"/>
          <w:sz w:val="28"/>
          <w:szCs w:val="28"/>
        </w:rPr>
        <w:t>次。由中标人委托有资质的检测公司检测，并支付检测费用。</w:t>
      </w:r>
    </w:p>
    <w:p>
      <w:pPr>
        <w:spacing w:line="560" w:lineRule="exact"/>
        <w:ind w:firstLine="560" w:firstLineChars="200"/>
        <w:rPr>
          <w:rFonts w:ascii="方正仿宋_GBK" w:eastAsia="方正仿宋_GBK"/>
          <w:sz w:val="28"/>
          <w:szCs w:val="28"/>
        </w:rPr>
      </w:pPr>
      <w:r>
        <w:rPr>
          <w:rFonts w:hint="eastAsia" w:ascii="方正仿宋_GBK" w:eastAsia="方正仿宋_GBK"/>
          <w:sz w:val="28"/>
          <w:szCs w:val="28"/>
        </w:rPr>
        <w:t>3、储奇门院区锅炉废气监测指标中的颗粒物、氮氧化物、二氧化硫、林格曼黑度监测频次为1次/年，氮氧化物1次/月。未开启锅炉时不监测。如需检测，则由中标人委托有资质的检测公司检测，并支付检测费用。</w:t>
      </w:r>
    </w:p>
    <w:p>
      <w:pPr>
        <w:pStyle w:val="17"/>
        <w:numPr>
          <w:ilvl w:val="0"/>
          <w:numId w:val="3"/>
        </w:numPr>
        <w:spacing w:line="560" w:lineRule="exact"/>
        <w:ind w:left="0" w:firstLine="562"/>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服务期限</w:t>
      </w:r>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服务期限：</w:t>
      </w:r>
      <w:r>
        <w:rPr>
          <w:rFonts w:hint="eastAsia" w:ascii="方正仿宋_GBK" w:eastAsia="方正仿宋_GBK"/>
          <w:sz w:val="28"/>
          <w:szCs w:val="28"/>
        </w:rPr>
        <w:t>二年（合同一年一签），储奇门院区搬迁后需重新招标，合同自动终止。</w:t>
      </w:r>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特别说明：合同签订如不能按合同要求执行，招标人有权中止合同。</w:t>
      </w:r>
    </w:p>
    <w:p>
      <w:pPr>
        <w:tabs>
          <w:tab w:val="left" w:pos="390"/>
        </w:tabs>
        <w:spacing w:line="560" w:lineRule="exact"/>
        <w:ind w:firstLine="562" w:firstLineChars="200"/>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三、报价要求</w:t>
      </w:r>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1、本次报价须为人民币报价</w:t>
      </w:r>
      <w:bookmarkStart w:id="4" w:name="_Hlk76973277"/>
      <w:r>
        <w:rPr>
          <w:rFonts w:hint="eastAsia" w:ascii="方正仿宋_GBK" w:hAnsi="仿宋" w:eastAsia="方正仿宋_GBK" w:cs="仿宋"/>
          <w:kern w:val="0"/>
          <w:sz w:val="28"/>
          <w:szCs w:val="28"/>
        </w:rPr>
        <w:t>。</w:t>
      </w:r>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2、运营管理服务费：包含：</w:t>
      </w:r>
      <w:bookmarkStart w:id="5" w:name="_Hlk76999536"/>
      <w:r>
        <w:rPr>
          <w:rFonts w:hint="eastAsia" w:ascii="方正仿宋_GBK" w:hAnsi="仿宋" w:eastAsia="方正仿宋_GBK" w:cs="仿宋"/>
          <w:kern w:val="0"/>
          <w:sz w:val="28"/>
          <w:szCs w:val="28"/>
        </w:rPr>
        <w:t>药品、化粪池清掏、粪渣污泥转运、人工费，设施设备维护，管理费、税等费</w:t>
      </w:r>
      <w:bookmarkEnd w:id="5"/>
      <w:r>
        <w:rPr>
          <w:rFonts w:hint="eastAsia" w:ascii="方正仿宋_GBK" w:hAnsi="仿宋" w:eastAsia="方正仿宋_GBK" w:cs="仿宋"/>
          <w:kern w:val="0"/>
          <w:sz w:val="28"/>
          <w:szCs w:val="28"/>
        </w:rPr>
        <w:t>等履行完本项目的所有费用，招标人不在补偿额外费用。</w:t>
      </w:r>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3、检测费用：按项目说明第2、3点要求，包含委托</w:t>
      </w:r>
      <w:r>
        <w:rPr>
          <w:rFonts w:hint="eastAsia" w:ascii="方正仿宋_GBK" w:eastAsia="方正仿宋_GBK"/>
          <w:sz w:val="28"/>
          <w:szCs w:val="28"/>
        </w:rPr>
        <w:t>有资质的检测公司检测的全部费用。</w:t>
      </w:r>
    </w:p>
    <w:bookmarkEnd w:id="4"/>
    <w:p>
      <w:pPr>
        <w:pStyle w:val="9"/>
        <w:spacing w:after="0" w:line="560" w:lineRule="exact"/>
        <w:ind w:firstLine="562" w:firstLineChars="200"/>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四、验收方式</w:t>
      </w:r>
    </w:p>
    <w:p>
      <w:pPr>
        <w:pStyle w:val="4"/>
        <w:spacing w:after="0"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污水站设施运行全年质量标准：监管部门取水检（监）测、季度委托三方单位每季度对废污水、废气检（监）测均应达到《医疗机构水污染标准GB18466-2005》预处理排放标准及法律、法规要求，粪大肠菌群、沙门氏菌、志贺氏菌定期检测达标。</w:t>
      </w:r>
    </w:p>
    <w:p>
      <w:pPr>
        <w:spacing w:line="560" w:lineRule="exact"/>
        <w:ind w:firstLine="562" w:firstLineChars="200"/>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五、违约责任</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1、招标人在对污水站常规管理工作检查中，中标人未按服务需求、规范要求、合同约定对污水站设施运行维护管理，采购人有权对中标人进行100-1000元扣款处理。</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2、监管部门取水检（监）测水质不达标、季度委托三方单位现场取水检（监）测不达标：</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（1）由中标人支付该次检测费。</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（2）立即整改，并承担主管部门相应行政罚款处罚。</w:t>
      </w:r>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（3）采购人有权要求中标人承担相应经济、法律责任。</w:t>
      </w:r>
    </w:p>
    <w:p>
      <w:pPr>
        <w:tabs>
          <w:tab w:val="left" w:pos="390"/>
        </w:tabs>
        <w:spacing w:line="560" w:lineRule="exact"/>
        <w:ind w:firstLine="562" w:firstLineChars="200"/>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五、付款方式</w:t>
      </w:r>
    </w:p>
    <w:p>
      <w:pPr>
        <w:spacing w:line="560" w:lineRule="exact"/>
        <w:ind w:firstLine="560" w:firstLineChars="200"/>
        <w:rPr>
          <w:rFonts w:ascii="方正仿宋_GBK" w:hAnsi="仿宋" w:eastAsia="方正仿宋_GBK" w:cs="仿宋"/>
          <w:kern w:val="0"/>
          <w:sz w:val="28"/>
          <w:szCs w:val="28"/>
        </w:rPr>
      </w:pPr>
      <w:bookmarkStart w:id="6" w:name="_Toc344475123"/>
      <w:r>
        <w:rPr>
          <w:rFonts w:hint="eastAsia" w:ascii="方正仿宋_GBK" w:hAnsi="仿宋" w:eastAsia="方正仿宋_GBK" w:cs="仿宋"/>
          <w:kern w:val="0"/>
          <w:sz w:val="28"/>
          <w:szCs w:val="28"/>
        </w:rPr>
        <w:t>按月支付，中标人需每月向招标人提供月运行维护管理资料，每月支付金额等于月服务费减去扣款（如果有）金额。付款前中标人需提供相应金额的有效发票，中标人提供发票时间迟延则招标人付款时间相应顺延，且不承担任何延期付款的责任。</w:t>
      </w:r>
    </w:p>
    <w:bookmarkEnd w:id="6"/>
    <w:p>
      <w:pPr>
        <w:tabs>
          <w:tab w:val="left" w:pos="390"/>
        </w:tabs>
        <w:spacing w:line="560" w:lineRule="exact"/>
        <w:ind w:firstLine="562" w:firstLineChars="200"/>
        <w:rPr>
          <w:rFonts w:ascii="方正仿宋_GBK" w:hAnsi="仿宋" w:eastAsia="方正仿宋_GBK" w:cs="仿宋"/>
          <w:b/>
          <w:bCs/>
          <w:kern w:val="0"/>
          <w:sz w:val="28"/>
          <w:szCs w:val="28"/>
        </w:rPr>
      </w:pPr>
      <w:r>
        <w:rPr>
          <w:rFonts w:hint="eastAsia" w:ascii="方正仿宋_GBK" w:hAnsi="仿宋" w:eastAsia="方正仿宋_GBK" w:cs="仿宋"/>
          <w:b/>
          <w:bCs/>
          <w:kern w:val="0"/>
          <w:sz w:val="28"/>
          <w:szCs w:val="28"/>
        </w:rPr>
        <w:t>六、安全要求</w:t>
      </w:r>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中标人应保证设备维护维修中所采购耗材的安全性，如在使用过程中因设备耗材的质量问题造成的一切医疗纠纷或投诉，任何争议责任的调查确定及承担，均由中标人自行应对和负责。</w:t>
      </w:r>
    </w:p>
    <w:p>
      <w:pPr>
        <w:spacing w:line="560" w:lineRule="exact"/>
        <w:ind w:firstLine="562" w:firstLineChars="200"/>
        <w:rPr>
          <w:rFonts w:ascii="方正仿宋_GBK" w:hAnsi="仿宋" w:eastAsia="方正仿宋_GBK" w:cs="仿宋"/>
          <w:kern w:val="0"/>
          <w:sz w:val="28"/>
          <w:szCs w:val="28"/>
        </w:rPr>
      </w:pPr>
      <w:bookmarkStart w:id="7" w:name="_Toc25182"/>
      <w:r>
        <w:rPr>
          <w:rFonts w:hint="eastAsia" w:ascii="方正仿宋_GBK" w:hAnsi="仿宋" w:eastAsia="方正仿宋_GBK" w:cs="仿宋"/>
          <w:b/>
          <w:bCs/>
          <w:kern w:val="0"/>
          <w:sz w:val="28"/>
          <w:szCs w:val="28"/>
        </w:rPr>
        <w:t>七、争议解决的办法</w:t>
      </w:r>
      <w:bookmarkEnd w:id="7"/>
    </w:p>
    <w:p>
      <w:pPr>
        <w:tabs>
          <w:tab w:val="left" w:pos="390"/>
        </w:tabs>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凡本项目合同履行过程中发生的一切争议，双方应首先友好协商解决，如不能解决，则提交招标人所在地人民法院按中华人民共和国有关法律法规及诉讼程序处理，诉讼费由败诉方承担。</w:t>
      </w:r>
    </w:p>
    <w:p>
      <w:pPr>
        <w:spacing w:line="560" w:lineRule="exact"/>
        <w:ind w:firstLine="562" w:firstLineChars="200"/>
        <w:rPr>
          <w:rFonts w:ascii="方正仿宋_GBK" w:hAnsi="仿宋" w:eastAsia="方正仿宋_GBK" w:cs="仿宋"/>
          <w:kern w:val="0"/>
          <w:sz w:val="28"/>
          <w:szCs w:val="28"/>
        </w:rPr>
      </w:pPr>
      <w:bookmarkStart w:id="8" w:name="_Toc25918"/>
      <w:r>
        <w:rPr>
          <w:rFonts w:hint="eastAsia" w:ascii="方正仿宋_GBK" w:hAnsi="仿宋" w:eastAsia="方正仿宋_GBK" w:cs="仿宋"/>
          <w:b/>
          <w:bCs/>
          <w:kern w:val="0"/>
          <w:sz w:val="28"/>
          <w:szCs w:val="28"/>
        </w:rPr>
        <w:t>八、项目采购解释权的行使</w:t>
      </w:r>
      <w:bookmarkEnd w:id="8"/>
    </w:p>
    <w:p>
      <w:pPr>
        <w:spacing w:line="560" w:lineRule="exact"/>
        <w:ind w:firstLine="560" w:firstLineChars="200"/>
        <w:rPr>
          <w:rFonts w:ascii="方正仿宋_GBK" w:hAnsi="仿宋" w:eastAsia="方正仿宋_GBK" w:cs="仿宋"/>
          <w:kern w:val="0"/>
          <w:sz w:val="28"/>
          <w:szCs w:val="28"/>
        </w:rPr>
      </w:pPr>
      <w:r>
        <w:rPr>
          <w:rFonts w:hint="eastAsia" w:ascii="方正仿宋_GBK" w:hAnsi="仿宋" w:eastAsia="方正仿宋_GBK" w:cs="仿宋"/>
          <w:kern w:val="0"/>
          <w:sz w:val="28"/>
          <w:szCs w:val="28"/>
        </w:rPr>
        <w:t>1、针对本招标文件发生的任何理解歧义和一切疑问，解释权归招标人行使。</w:t>
      </w:r>
    </w:p>
    <w:p>
      <w:pPr>
        <w:widowControl/>
        <w:spacing w:line="560" w:lineRule="exact"/>
        <w:ind w:firstLine="560" w:firstLineChars="200"/>
        <w:rPr>
          <w:rFonts w:ascii="方正仿宋_GBK" w:eastAsia="方正仿宋_GBK" w:hAnsiTheme="minorEastAsia"/>
          <w:color w:val="000000" w:themeColor="text1"/>
          <w:sz w:val="32"/>
          <w:szCs w:val="32"/>
          <w14:textFill>
            <w14:solidFill>
              <w14:schemeClr w14:val="tx1"/>
            </w14:solidFill>
          </w14:textFill>
        </w:rPr>
      </w:pPr>
      <w:r>
        <w:rPr>
          <w:rFonts w:hint="eastAsia" w:ascii="方正仿宋_GBK" w:hAnsi="仿宋" w:eastAsia="方正仿宋_GBK" w:cs="仿宋"/>
          <w:kern w:val="0"/>
          <w:sz w:val="28"/>
          <w:szCs w:val="28"/>
        </w:rPr>
        <w:t>2、投标人保证其投标文件中所作承诺及相关资质文件的真实性；否则，招标人可单方面解除合同并追究其违约责任。</w:t>
      </w:r>
    </w:p>
    <w:p>
      <w:pPr>
        <w:widowControl/>
        <w:jc w:val="left"/>
        <w:rPr>
          <w:rFonts w:ascii="方正仿宋_GBK" w:eastAsia="方正仿宋_GBK" w:hAnsiTheme="minorEastAsia"/>
          <w:color w:val="000000" w:themeColor="text1"/>
          <w:sz w:val="32"/>
          <w:szCs w:val="32"/>
          <w14:textFill>
            <w14:solidFill>
              <w14:schemeClr w14:val="tx1"/>
            </w14:solidFill>
          </w14:textFill>
        </w:rPr>
      </w:pPr>
      <w:r>
        <w:rPr>
          <w:rFonts w:ascii="方正仿宋_GBK" w:eastAsia="方正仿宋_GBK" w:hAnsiTheme="minorEastAsia"/>
          <w:color w:val="000000" w:themeColor="text1"/>
          <w:sz w:val="32"/>
          <w:szCs w:val="32"/>
          <w14:textFill>
            <w14:solidFill>
              <w14:schemeClr w14:val="tx1"/>
            </w14:solidFill>
          </w14:textFill>
        </w:rPr>
        <w:br w:type="page"/>
      </w:r>
    </w:p>
    <w:p>
      <w:pPr>
        <w:tabs>
          <w:tab w:val="left" w:pos="6300"/>
        </w:tabs>
        <w:snapToGrid w:val="0"/>
        <w:spacing w:line="480" w:lineRule="exact"/>
        <w:outlineLvl w:val="0"/>
        <w:rPr>
          <w:rFonts w:ascii="方正仿宋_GBK" w:eastAsia="方正仿宋_GBK" w:hAnsiTheme="minorEastAsia"/>
          <w:color w:val="000000" w:themeColor="text1"/>
          <w:sz w:val="32"/>
          <w:szCs w:val="32"/>
          <w14:textFill>
            <w14:solidFill>
              <w14:schemeClr w14:val="tx1"/>
            </w14:solidFill>
          </w14:textFill>
        </w:rPr>
      </w:pPr>
      <w:r>
        <w:rPr>
          <w:rFonts w:hint="eastAsia" w:ascii="方正仿宋_GBK" w:eastAsia="方正仿宋_GBK" w:hAnsiTheme="minorEastAsia"/>
          <w:color w:val="000000" w:themeColor="text1"/>
          <w:sz w:val="32"/>
          <w:szCs w:val="32"/>
          <w14:textFill>
            <w14:solidFill>
              <w14:schemeClr w14:val="tx1"/>
            </w14:solidFill>
          </w14:textFill>
        </w:rPr>
        <w:t>附件</w:t>
      </w:r>
      <w:r>
        <w:rPr>
          <w:rFonts w:ascii="方正仿宋_GBK" w:eastAsia="方正仿宋_GBK" w:hAnsiTheme="minorEastAsia"/>
          <w:color w:val="000000" w:themeColor="text1"/>
          <w:sz w:val="32"/>
          <w:szCs w:val="32"/>
          <w14:textFill>
            <w14:solidFill>
              <w14:schemeClr w14:val="tx1"/>
            </w14:solidFill>
          </w14:textFill>
        </w:rPr>
        <w:t>3</w:t>
      </w:r>
    </w:p>
    <w:p>
      <w:pPr>
        <w:tabs>
          <w:tab w:val="left" w:pos="6300"/>
        </w:tabs>
        <w:snapToGrid w:val="0"/>
        <w:spacing w:before="240" w:beforeLines="100" w:line="480" w:lineRule="exact"/>
        <w:jc w:val="center"/>
        <w:outlineLvl w:val="0"/>
        <w:rPr>
          <w:rFonts w:ascii="方正仿宋_GBK" w:eastAsia="方正仿宋_GBK" w:hAnsiTheme="minorEastAsia"/>
          <w:b/>
          <w:color w:val="000000" w:themeColor="text1"/>
          <w:sz w:val="32"/>
          <w:szCs w:val="32"/>
          <w14:textFill>
            <w14:solidFill>
              <w14:schemeClr w14:val="tx1"/>
            </w14:solidFill>
          </w14:textFill>
        </w:rPr>
      </w:pPr>
      <w:r>
        <w:rPr>
          <w:rFonts w:hint="eastAsia" w:ascii="方正仿宋_GBK" w:eastAsia="方正仿宋_GBK" w:hAnsiTheme="minorEastAsia"/>
          <w:b/>
          <w:color w:val="000000" w:themeColor="text1"/>
          <w:sz w:val="32"/>
          <w:szCs w:val="32"/>
          <w14:textFill>
            <w14:solidFill>
              <w14:schemeClr w14:val="tx1"/>
            </w14:solidFill>
          </w14:textFill>
        </w:rPr>
        <w:t>报价函（格式）</w:t>
      </w:r>
    </w:p>
    <w:p>
      <w:pPr>
        <w:tabs>
          <w:tab w:val="left" w:pos="6300"/>
        </w:tabs>
        <w:snapToGrid w:val="0"/>
        <w:spacing w:line="480" w:lineRule="exact"/>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致：</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我方收到的比选文件，经详细研究，决定参加该比选项目的竞争比选。</w:t>
      </w:r>
    </w:p>
    <w:p>
      <w:pPr>
        <w:tabs>
          <w:tab w:val="left" w:pos="6300"/>
        </w:tabs>
        <w:snapToGrid w:val="0"/>
        <w:spacing w:line="480" w:lineRule="exact"/>
        <w:ind w:firstLine="560" w:firstLineChars="20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1、愿意按照竞争性比选文件中的一切要求，向比选人带给货物与服务，总报价为</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eastAsia="方正仿宋_GBK" w:hAnsiTheme="minorEastAsia"/>
          <w:color w:val="000000" w:themeColor="text1"/>
          <w:sz w:val="28"/>
          <w:szCs w:val="28"/>
          <w14:textFill>
            <w14:solidFill>
              <w14:schemeClr w14:val="tx1"/>
            </w14:solidFill>
          </w14:textFill>
        </w:rPr>
        <w:t>元(大写人民币：</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eastAsia="方正仿宋_GBK" w:hAnsiTheme="minorEastAsia"/>
          <w:color w:val="000000" w:themeColor="text1"/>
          <w:sz w:val="28"/>
          <w:szCs w:val="28"/>
          <w14:textFill>
            <w14:solidFill>
              <w14:schemeClr w14:val="tx1"/>
            </w14:solidFill>
          </w14:textFill>
        </w:rPr>
        <w:t xml:space="preserve">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2、我们提交的报价文件为：报价文件正本壹份。</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3、我们完全理解和接受贵方竞争性比选文件的一切规定和要求，完全答应比选文件中规定的所有条件和比选评审办法。</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4、在整个竞争性比选过程中，我方若有违规行为，贵方可按《中华人民共和国政府采购法》和《竞争性比选文件》之规定给予惩罚，我方完全接受。</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snapToGrid w:val="0"/>
        <w:spacing w:line="360" w:lineRule="auto"/>
        <w:ind w:firstLine="478" w:firstLineChars="171"/>
        <w:rPr>
          <w:rFonts w:ascii="方正仿宋_GBK" w:eastAsia="方正仿宋_GBK" w:cs="仿宋_GB2312"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竞标人（</w:t>
      </w:r>
      <w:r>
        <w:rPr>
          <w:rFonts w:hint="eastAsia" w:ascii="方正仿宋_GBK" w:eastAsia="方正仿宋_GBK" w:cs="仿宋_GB2312" w:hAnsiTheme="minorEastAsia"/>
          <w:color w:val="000000" w:themeColor="text1"/>
          <w:sz w:val="28"/>
          <w:szCs w:val="28"/>
          <w14:textFill>
            <w14:solidFill>
              <w14:schemeClr w14:val="tx1"/>
            </w14:solidFill>
          </w14:textFill>
        </w:rPr>
        <w:t xml:space="preserve">法定代表人或法定代表人授权代表签名）: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（公章）：</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 xml:space="preserve">地址：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电话：                           传真：</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网址：                           邮编：</w:t>
      </w:r>
    </w:p>
    <w:p>
      <w:pPr>
        <w:snapToGrid w:val="0"/>
        <w:spacing w:line="520" w:lineRule="exact"/>
        <w:ind w:firstLine="560" w:firstLineChars="200"/>
        <w:rPr>
          <w:rFonts w:ascii="方正仿宋_GBK" w:hAnsi="宋体" w:eastAsia="方正仿宋_GBK"/>
          <w:color w:val="000000" w:themeColor="text1"/>
          <w:sz w:val="28"/>
          <w:szCs w:val="28"/>
          <w14:textFill>
            <w14:solidFill>
              <w14:schemeClr w14:val="tx1"/>
            </w14:solidFill>
          </w14:textFill>
        </w:rPr>
      </w:pPr>
    </w:p>
    <w:p>
      <w:pPr>
        <w:snapToGrid w:val="0"/>
        <w:spacing w:line="52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widowControl/>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br w:type="page"/>
      </w:r>
    </w:p>
    <w:p>
      <w:pPr>
        <w:snapToGrid w:val="0"/>
        <w:spacing w:line="360" w:lineRule="auto"/>
        <w:ind w:firstLine="420" w:firstLineChars="200"/>
        <w:rPr>
          <w:rFonts w:ascii="方正仿宋_GBK" w:hAnsi="宋体" w:eastAsia="方正仿宋_GBK"/>
          <w:color w:val="000000" w:themeColor="text1"/>
          <w:szCs w:val="28"/>
          <w:bdr w:val="single" w:color="auto" w:sz="4" w:space="0"/>
          <w14:textFill>
            <w14:solidFill>
              <w14:schemeClr w14:val="tx1"/>
            </w14:solidFill>
          </w14:textFill>
        </w:rPr>
        <w:sectPr>
          <w:footerReference r:id="rId3" w:type="default"/>
          <w:pgSz w:w="11907" w:h="16840"/>
          <w:pgMar w:top="1418" w:right="1474" w:bottom="1418" w:left="1474" w:header="851" w:footer="992" w:gutter="0"/>
          <w:pgNumType w:fmt="numberInDash" w:start="0" w:chapStyle="2"/>
          <w:cols w:space="720" w:num="1"/>
          <w:titlePg/>
          <w:docGrid w:linePitch="380" w:charSpace="-5735"/>
        </w:sectPr>
      </w:pPr>
    </w:p>
    <w:p>
      <w:pPr>
        <w:tabs>
          <w:tab w:val="left" w:pos="6300"/>
        </w:tabs>
        <w:snapToGrid w:val="0"/>
        <w:spacing w:line="480" w:lineRule="exact"/>
        <w:jc w:val="center"/>
        <w:outlineLvl w:val="0"/>
        <w:rPr>
          <w:rFonts w:ascii="方正仿宋_GBK" w:hAnsi="宋体" w:eastAsia="方正仿宋_GBK"/>
          <w:b/>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重庆市中医骨科医院污水处理设施运营维护服务报价清单</w:t>
      </w:r>
    </w:p>
    <w:p>
      <w:pPr>
        <w:tabs>
          <w:tab w:val="left" w:pos="6300"/>
        </w:tabs>
        <w:snapToGrid w:val="0"/>
        <w:spacing w:line="480" w:lineRule="exact"/>
        <w:outlineLvl w:val="0"/>
        <w:rPr>
          <w:rFonts w:ascii="方正仿宋_GBK" w:hAnsi="宋体" w:eastAsia="方正仿宋_GBK"/>
          <w:b/>
          <w:color w:val="000000" w:themeColor="text1"/>
          <w:sz w:val="32"/>
          <w:szCs w:val="32"/>
          <w14:textFill>
            <w14:solidFill>
              <w14:schemeClr w14:val="tx1"/>
            </w14:solidFill>
          </w14:textFill>
        </w:rPr>
      </w:pPr>
    </w:p>
    <w:tbl>
      <w:tblPr>
        <w:tblStyle w:val="11"/>
        <w:tblW w:w="978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723"/>
        <w:gridCol w:w="993"/>
        <w:gridCol w:w="992"/>
        <w:gridCol w:w="1559"/>
        <w:gridCol w:w="1616"/>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序号</w:t>
            </w:r>
          </w:p>
        </w:tc>
        <w:tc>
          <w:tcPr>
            <w:tcW w:w="1723"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项目</w:t>
            </w:r>
          </w:p>
        </w:tc>
        <w:tc>
          <w:tcPr>
            <w:tcW w:w="993"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单位</w:t>
            </w:r>
          </w:p>
        </w:tc>
        <w:tc>
          <w:tcPr>
            <w:tcW w:w="992"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数量</w:t>
            </w:r>
          </w:p>
        </w:tc>
        <w:tc>
          <w:tcPr>
            <w:tcW w:w="1559"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单价</w:t>
            </w:r>
          </w:p>
        </w:tc>
        <w:tc>
          <w:tcPr>
            <w:tcW w:w="1616"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金额</w:t>
            </w:r>
          </w:p>
        </w:tc>
        <w:tc>
          <w:tcPr>
            <w:tcW w:w="1928"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w:t>
            </w:r>
          </w:p>
        </w:tc>
        <w:tc>
          <w:tcPr>
            <w:tcW w:w="1723" w:type="dxa"/>
            <w:vAlign w:val="center"/>
          </w:tcPr>
          <w:p>
            <w:pPr>
              <w:tabs>
                <w:tab w:val="left" w:pos="6300"/>
              </w:tabs>
              <w:snapToGrid w:val="0"/>
              <w:spacing w:line="400" w:lineRule="exact"/>
              <w:jc w:val="left"/>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较场口院区污水处理设施运营维护服务</w:t>
            </w:r>
          </w:p>
        </w:tc>
        <w:tc>
          <w:tcPr>
            <w:tcW w:w="99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月</w:t>
            </w:r>
          </w:p>
        </w:tc>
        <w:tc>
          <w:tcPr>
            <w:tcW w:w="992"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w:t>
            </w:r>
            <w:r>
              <w:rPr>
                <w:rFonts w:ascii="方正仿宋_GBK" w:hAnsi="宋体" w:eastAsia="方正仿宋_GBK"/>
                <w:color w:val="000000" w:themeColor="text1"/>
                <w:sz w:val="24"/>
                <w:szCs w:val="24"/>
                <w14:textFill>
                  <w14:solidFill>
                    <w14:schemeClr w14:val="tx1"/>
                  </w14:solidFill>
                </w14:textFill>
              </w:rPr>
              <w:t>2</w:t>
            </w:r>
          </w:p>
        </w:tc>
        <w:tc>
          <w:tcPr>
            <w:tcW w:w="1559"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616"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928" w:type="dxa"/>
            <w:vAlign w:val="center"/>
          </w:tcPr>
          <w:p>
            <w:pPr>
              <w:tabs>
                <w:tab w:val="left" w:pos="6300"/>
              </w:tabs>
              <w:snapToGrid w:val="0"/>
              <w:spacing w:line="400" w:lineRule="exact"/>
              <w:jc w:val="left"/>
              <w:outlineLvl w:val="0"/>
              <w:rPr>
                <w:rFonts w:ascii="方正仿宋_GBK" w:hAnsi="宋体" w:eastAsia="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w:t>
            </w:r>
          </w:p>
        </w:tc>
        <w:tc>
          <w:tcPr>
            <w:tcW w:w="1723" w:type="dxa"/>
            <w:vAlign w:val="center"/>
          </w:tcPr>
          <w:p>
            <w:pPr>
              <w:tabs>
                <w:tab w:val="left" w:pos="6300"/>
              </w:tabs>
              <w:snapToGrid w:val="0"/>
              <w:spacing w:line="400" w:lineRule="exact"/>
              <w:jc w:val="left"/>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储奇门院区污水处理设施运营维护服务</w:t>
            </w:r>
          </w:p>
        </w:tc>
        <w:tc>
          <w:tcPr>
            <w:tcW w:w="99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月</w:t>
            </w:r>
          </w:p>
        </w:tc>
        <w:tc>
          <w:tcPr>
            <w:tcW w:w="992"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w:t>
            </w:r>
            <w:r>
              <w:rPr>
                <w:rFonts w:ascii="方正仿宋_GBK" w:hAnsi="宋体" w:eastAsia="方正仿宋_GBK"/>
                <w:color w:val="000000" w:themeColor="text1"/>
                <w:sz w:val="24"/>
                <w:szCs w:val="24"/>
                <w14:textFill>
                  <w14:solidFill>
                    <w14:schemeClr w14:val="tx1"/>
                  </w14:solidFill>
                </w14:textFill>
              </w:rPr>
              <w:t>2</w:t>
            </w:r>
          </w:p>
        </w:tc>
        <w:tc>
          <w:tcPr>
            <w:tcW w:w="1559"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616"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928" w:type="dxa"/>
            <w:vAlign w:val="center"/>
          </w:tcPr>
          <w:p>
            <w:pPr>
              <w:tabs>
                <w:tab w:val="left" w:pos="6300"/>
              </w:tabs>
              <w:snapToGrid w:val="0"/>
              <w:spacing w:line="400" w:lineRule="exact"/>
              <w:jc w:val="left"/>
              <w:outlineLvl w:val="0"/>
              <w:rPr>
                <w:rFonts w:ascii="方正仿宋_GBK" w:hAnsi="宋体" w:eastAsia="方正仿宋_GBK"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w:t>
            </w:r>
          </w:p>
        </w:tc>
        <w:tc>
          <w:tcPr>
            <w:tcW w:w="1723" w:type="dxa"/>
            <w:vAlign w:val="center"/>
          </w:tcPr>
          <w:p>
            <w:pPr>
              <w:tabs>
                <w:tab w:val="left" w:pos="6300"/>
              </w:tabs>
              <w:snapToGrid w:val="0"/>
              <w:spacing w:line="400" w:lineRule="exact"/>
              <w:jc w:val="left"/>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污水及污水处理站周界废气检测</w:t>
            </w:r>
          </w:p>
        </w:tc>
        <w:tc>
          <w:tcPr>
            <w:tcW w:w="99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次</w:t>
            </w:r>
            <w:r>
              <w:rPr>
                <w:rFonts w:ascii="方正仿宋_GBK" w:hAnsi="宋体" w:eastAsia="方正仿宋_GBK"/>
                <w:color w:val="000000" w:themeColor="text1"/>
                <w:sz w:val="24"/>
                <w:szCs w:val="24"/>
                <w14:textFill>
                  <w14:solidFill>
                    <w14:schemeClr w14:val="tx1"/>
                  </w14:solidFill>
                </w14:textFill>
              </w:rPr>
              <w:t xml:space="preserve"> </w:t>
            </w:r>
          </w:p>
        </w:tc>
        <w:tc>
          <w:tcPr>
            <w:tcW w:w="992"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8</w:t>
            </w:r>
          </w:p>
        </w:tc>
        <w:tc>
          <w:tcPr>
            <w:tcW w:w="1559"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616"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928" w:type="dxa"/>
            <w:vAlign w:val="center"/>
          </w:tcPr>
          <w:p>
            <w:pPr>
              <w:tabs>
                <w:tab w:val="left" w:pos="6300"/>
              </w:tabs>
              <w:snapToGrid w:val="0"/>
              <w:spacing w:line="400" w:lineRule="exact"/>
              <w:jc w:val="left"/>
              <w:outlineLvl w:val="0"/>
              <w:rPr>
                <w:rFonts w:ascii="方正仿宋_GBK" w:hAnsi="宋体" w:eastAsia="方正仿宋_GBK" w:cs="Times New Roman"/>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检测频次1次/季/座，两座污水处理站，一年共8次。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4</w:t>
            </w:r>
          </w:p>
        </w:tc>
        <w:tc>
          <w:tcPr>
            <w:tcW w:w="1723" w:type="dxa"/>
            <w:vAlign w:val="center"/>
          </w:tcPr>
          <w:p>
            <w:pPr>
              <w:tabs>
                <w:tab w:val="left" w:pos="6300"/>
              </w:tabs>
              <w:snapToGrid w:val="0"/>
              <w:spacing w:line="400" w:lineRule="exact"/>
              <w:jc w:val="left"/>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储奇门院区锅炉废气检测</w:t>
            </w:r>
          </w:p>
        </w:tc>
        <w:tc>
          <w:tcPr>
            <w:tcW w:w="99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次</w:t>
            </w:r>
          </w:p>
        </w:tc>
        <w:tc>
          <w:tcPr>
            <w:tcW w:w="992"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ascii="方正仿宋_GBK" w:hAnsi="宋体" w:eastAsia="方正仿宋_GBK"/>
                <w:color w:val="000000" w:themeColor="text1"/>
                <w:sz w:val="24"/>
                <w:szCs w:val="24"/>
                <w14:textFill>
                  <w14:solidFill>
                    <w14:schemeClr w14:val="tx1"/>
                  </w14:solidFill>
                </w14:textFill>
              </w:rPr>
              <w:t>1</w:t>
            </w:r>
          </w:p>
        </w:tc>
        <w:tc>
          <w:tcPr>
            <w:tcW w:w="1559"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616"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928" w:type="dxa"/>
            <w:vAlign w:val="center"/>
          </w:tcPr>
          <w:p>
            <w:pPr>
              <w:tabs>
                <w:tab w:val="left" w:pos="6300"/>
              </w:tabs>
              <w:snapToGrid w:val="0"/>
              <w:spacing w:line="400" w:lineRule="exact"/>
              <w:jc w:val="left"/>
              <w:outlineLvl w:val="0"/>
              <w:rPr>
                <w:rFonts w:ascii="方正仿宋_GBK" w:hAnsi="宋体" w:eastAsia="方正仿宋_GBK" w:cs="Times New Roman"/>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储奇门院区未开启锅炉时不监测</w:t>
            </w:r>
          </w:p>
          <w:p>
            <w:pPr>
              <w:tabs>
                <w:tab w:val="left" w:pos="6300"/>
              </w:tabs>
              <w:snapToGrid w:val="0"/>
              <w:spacing w:line="400" w:lineRule="exact"/>
              <w:jc w:val="left"/>
              <w:outlineLvl w:val="0"/>
              <w:rPr>
                <w:rFonts w:ascii="方正仿宋_GBK" w:hAnsi="宋体" w:eastAsia="方正仿宋_GBK" w:cs="Times New Roman"/>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（按实际支付）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5</w:t>
            </w:r>
          </w:p>
        </w:tc>
        <w:tc>
          <w:tcPr>
            <w:tcW w:w="172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锅炉废气（氮氧化物）检测</w:t>
            </w:r>
          </w:p>
        </w:tc>
        <w:tc>
          <w:tcPr>
            <w:tcW w:w="99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次</w:t>
            </w:r>
          </w:p>
        </w:tc>
        <w:tc>
          <w:tcPr>
            <w:tcW w:w="992"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ascii="方正仿宋_GBK" w:hAnsi="宋体" w:eastAsia="方正仿宋_GBK"/>
                <w:color w:val="000000" w:themeColor="text1"/>
                <w:sz w:val="24"/>
                <w:szCs w:val="24"/>
                <w14:textFill>
                  <w14:solidFill>
                    <w14:schemeClr w14:val="tx1"/>
                  </w14:solidFill>
                </w14:textFill>
              </w:rPr>
              <w:t>4</w:t>
            </w:r>
          </w:p>
        </w:tc>
        <w:tc>
          <w:tcPr>
            <w:tcW w:w="1559"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616"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928" w:type="dxa"/>
            <w:vAlign w:val="center"/>
          </w:tcPr>
          <w:p>
            <w:pPr>
              <w:tabs>
                <w:tab w:val="left" w:pos="6300"/>
              </w:tabs>
              <w:snapToGrid w:val="0"/>
              <w:spacing w:line="400" w:lineRule="exact"/>
              <w:jc w:val="center"/>
              <w:outlineLvl w:val="0"/>
              <w:rPr>
                <w:rFonts w:ascii="方正仿宋_GBK" w:hAnsi="宋体" w:eastAsia="方正仿宋_GBK" w:cs="Times New Roman"/>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储奇门院区未开启锅炉时不监测</w:t>
            </w:r>
          </w:p>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s="Times New Roman"/>
                <w:color w:val="000000" w:themeColor="text1"/>
                <w:sz w:val="24"/>
                <w:szCs w:val="24"/>
                <w14:textFill>
                  <w14:solidFill>
                    <w14:schemeClr w14:val="tx1"/>
                  </w14:solidFill>
                </w14:textFill>
              </w:rPr>
              <w:t>（按实际支付）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71" w:type="dxa"/>
            <w:vAlign w:val="center"/>
          </w:tcPr>
          <w:p>
            <w:pPr>
              <w:tabs>
                <w:tab w:val="left" w:pos="6300"/>
              </w:tabs>
              <w:snapToGrid w:val="0"/>
              <w:spacing w:line="480" w:lineRule="exact"/>
              <w:jc w:val="center"/>
              <w:outlineLvl w:val="0"/>
              <w:rPr>
                <w:rFonts w:ascii="方正仿宋_GBK" w:hAnsi="宋体" w:eastAsia="方正仿宋_GBK"/>
                <w:color w:val="FF0000"/>
                <w:sz w:val="24"/>
                <w:szCs w:val="24"/>
              </w:rPr>
            </w:pPr>
            <w:r>
              <w:rPr>
                <w:rFonts w:hint="eastAsia" w:ascii="方正仿宋_GBK" w:hAnsi="宋体" w:eastAsia="方正仿宋_GBK"/>
                <w:color w:val="000000" w:themeColor="text1"/>
                <w:sz w:val="24"/>
                <w:szCs w:val="24"/>
                <w14:textFill>
                  <w14:solidFill>
                    <w14:schemeClr w14:val="tx1"/>
                  </w14:solidFill>
                </w14:textFill>
              </w:rPr>
              <w:t>6</w:t>
            </w:r>
          </w:p>
        </w:tc>
        <w:tc>
          <w:tcPr>
            <w:tcW w:w="172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总计金额</w:t>
            </w:r>
          </w:p>
        </w:tc>
        <w:tc>
          <w:tcPr>
            <w:tcW w:w="993"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w:t>
            </w:r>
          </w:p>
        </w:tc>
        <w:tc>
          <w:tcPr>
            <w:tcW w:w="992"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w:t>
            </w:r>
          </w:p>
        </w:tc>
        <w:tc>
          <w:tcPr>
            <w:tcW w:w="1559"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w:t>
            </w:r>
          </w:p>
        </w:tc>
        <w:tc>
          <w:tcPr>
            <w:tcW w:w="1616" w:type="dxa"/>
            <w:vAlign w:val="center"/>
          </w:tcPr>
          <w:p>
            <w:pPr>
              <w:tabs>
                <w:tab w:val="left" w:pos="6300"/>
              </w:tabs>
              <w:snapToGrid w:val="0"/>
              <w:spacing w:line="400" w:lineRule="exact"/>
              <w:jc w:val="center"/>
              <w:outlineLvl w:val="0"/>
              <w:rPr>
                <w:rFonts w:ascii="方正仿宋_GBK" w:hAnsi="宋体" w:eastAsia="方正仿宋_GBK"/>
                <w:color w:val="000000" w:themeColor="text1"/>
                <w:sz w:val="24"/>
                <w:szCs w:val="24"/>
                <w14:textFill>
                  <w14:solidFill>
                    <w14:schemeClr w14:val="tx1"/>
                  </w14:solidFill>
                </w14:textFill>
              </w:rPr>
            </w:pPr>
          </w:p>
        </w:tc>
        <w:tc>
          <w:tcPr>
            <w:tcW w:w="1928" w:type="dxa"/>
            <w:vAlign w:val="center"/>
          </w:tcPr>
          <w:p>
            <w:pPr>
              <w:tabs>
                <w:tab w:val="left" w:pos="6300"/>
              </w:tabs>
              <w:snapToGrid w:val="0"/>
              <w:spacing w:line="400" w:lineRule="exact"/>
              <w:jc w:val="left"/>
              <w:outlineLvl w:val="0"/>
              <w:rPr>
                <w:rFonts w:ascii="方正仿宋_GBK" w:hAnsi="宋体" w:eastAsia="方正仿宋_GBK"/>
                <w:color w:val="000000" w:themeColor="text1"/>
                <w:sz w:val="24"/>
                <w:szCs w:val="24"/>
                <w14:textFill>
                  <w14:solidFill>
                    <w14:schemeClr w14:val="tx1"/>
                  </w14:solidFill>
                </w14:textFill>
              </w:rPr>
            </w:pPr>
          </w:p>
        </w:tc>
      </w:tr>
    </w:tbl>
    <w:p>
      <w:pPr>
        <w:tabs>
          <w:tab w:val="left" w:pos="6300"/>
        </w:tabs>
        <w:snapToGrid w:val="0"/>
        <w:spacing w:line="480" w:lineRule="exact"/>
        <w:jc w:val="left"/>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说明：</w:t>
      </w:r>
    </w:p>
    <w:p>
      <w:pPr>
        <w:tabs>
          <w:tab w:val="left" w:pos="6300"/>
        </w:tabs>
        <w:snapToGrid w:val="0"/>
        <w:spacing w:line="480" w:lineRule="exact"/>
        <w:jc w:val="left"/>
        <w:outlineLvl w:val="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1、以上报价均为一年的费用。</w:t>
      </w:r>
    </w:p>
    <w:p>
      <w:pPr>
        <w:tabs>
          <w:tab w:val="left" w:pos="6300"/>
        </w:tabs>
        <w:snapToGrid w:val="0"/>
        <w:spacing w:line="480" w:lineRule="exact"/>
        <w:jc w:val="left"/>
        <w:outlineLvl w:val="0"/>
        <w:rPr>
          <w:rFonts w:ascii="方正仿宋_GBK" w:hAnsi="仿宋" w:eastAsia="方正仿宋_GBK" w:cs="仿宋"/>
          <w:kern w:val="0"/>
          <w:sz w:val="28"/>
          <w:szCs w:val="28"/>
        </w:rPr>
      </w:pPr>
      <w:r>
        <w:rPr>
          <w:rFonts w:hint="eastAsia" w:ascii="方正仿宋_GBK" w:hAnsi="宋体" w:eastAsia="方正仿宋_GBK"/>
          <w:color w:val="000000" w:themeColor="text1"/>
          <w:sz w:val="28"/>
          <w:szCs w:val="28"/>
          <w14:textFill>
            <w14:solidFill>
              <w14:schemeClr w14:val="tx1"/>
            </w14:solidFill>
          </w14:textFill>
        </w:rPr>
        <w:t>2、以上项目均按重庆市中医骨科医院污水处理设施运营维护服务运营要求和商务要求执行，投标人报价需自行考虑执行上述要求</w:t>
      </w:r>
      <w:r>
        <w:rPr>
          <w:rFonts w:hint="eastAsia" w:ascii="方正仿宋_GBK" w:hAnsi="仿宋" w:eastAsia="方正仿宋_GBK" w:cs="仿宋"/>
          <w:kern w:val="0"/>
          <w:sz w:val="28"/>
          <w:szCs w:val="28"/>
        </w:rPr>
        <w:t>履行完本项目的所有费用</w:t>
      </w:r>
      <w:r>
        <w:rPr>
          <w:rFonts w:hint="eastAsia" w:ascii="方正仿宋_GBK" w:hAnsi="宋体" w:eastAsia="方正仿宋_GBK"/>
          <w:color w:val="000000" w:themeColor="text1"/>
          <w:sz w:val="28"/>
          <w:szCs w:val="28"/>
          <w14:textFill>
            <w14:solidFill>
              <w14:schemeClr w14:val="tx1"/>
            </w14:solidFill>
          </w14:textFill>
        </w:rPr>
        <w:t>（包括人工费、材料费、运输费、管理费、税费等），</w:t>
      </w:r>
      <w:r>
        <w:rPr>
          <w:rFonts w:hint="eastAsia" w:ascii="方正仿宋_GBK" w:hAnsi="仿宋" w:eastAsia="方正仿宋_GBK" w:cs="仿宋"/>
          <w:kern w:val="0"/>
          <w:sz w:val="28"/>
          <w:szCs w:val="28"/>
        </w:rPr>
        <w:t>招标人不再补偿额外费用。</w:t>
      </w:r>
    </w:p>
    <w:p>
      <w:pPr>
        <w:tabs>
          <w:tab w:val="left" w:pos="6300"/>
        </w:tabs>
        <w:snapToGrid w:val="0"/>
        <w:spacing w:line="480" w:lineRule="exact"/>
        <w:jc w:val="left"/>
        <w:outlineLvl w:val="0"/>
        <w:rPr>
          <w:rFonts w:ascii="方正仿宋_GBK" w:hAnsi="宋体" w:eastAsia="方正仿宋_GBK"/>
          <w:b/>
          <w:color w:val="000000" w:themeColor="text1"/>
          <w:sz w:val="28"/>
          <w:szCs w:val="28"/>
          <w14:textFill>
            <w14:solidFill>
              <w14:schemeClr w14:val="tx1"/>
            </w14:solidFill>
          </w14:textFill>
        </w:rPr>
      </w:pPr>
    </w:p>
    <w:p>
      <w:pPr>
        <w:tabs>
          <w:tab w:val="left" w:pos="6300"/>
        </w:tabs>
        <w:snapToGrid w:val="0"/>
        <w:spacing w:line="480" w:lineRule="exact"/>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附件</w:t>
      </w:r>
      <w:r>
        <w:rPr>
          <w:rFonts w:ascii="方正仿宋_GBK" w:hAnsi="宋体" w:eastAsia="方正仿宋_GBK"/>
          <w:color w:val="000000" w:themeColor="text1"/>
          <w:sz w:val="32"/>
          <w:szCs w:val="32"/>
          <w14:textFill>
            <w14:solidFill>
              <w14:schemeClr w14:val="tx1"/>
            </w14:solidFill>
          </w14:textFill>
        </w:rPr>
        <w:t>4</w:t>
      </w:r>
    </w:p>
    <w:p>
      <w:pPr>
        <w:tabs>
          <w:tab w:val="left" w:pos="6300"/>
        </w:tabs>
        <w:snapToGrid w:val="0"/>
        <w:spacing w:before="312" w:beforeLines="100" w:after="312" w:afterLines="100" w:line="400" w:lineRule="atLeast"/>
        <w:jc w:val="center"/>
        <w:outlineLvl w:val="0"/>
        <w:rPr>
          <w:rFonts w:ascii="方正仿宋_GBK" w:hAnsi="宋体" w:eastAsia="方正仿宋_GBK"/>
          <w:b/>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法定代表人授权委托书（格式）</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项目名称：</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日    期：</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致：</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（竞争性比选人名称）</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（竞标人名称）是中华人民共和国合法企业，法定地址</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s="宋体"/>
          <w:color w:val="000000" w:themeColor="text1"/>
          <w:sz w:val="28"/>
          <w:szCs w:val="28"/>
          <w14:textFill>
            <w14:solidFill>
              <w14:schemeClr w14:val="tx1"/>
            </w14:solidFill>
          </w14:textFill>
        </w:rPr>
        <w:t>本人</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（身份证号码：</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 xml:space="preserve">；）系 </w:t>
      </w:r>
      <w:r>
        <w:rPr>
          <w:rFonts w:hint="eastAsia" w:ascii="方正仿宋_GBK" w:hAnsi="宋体" w:eastAsia="方正仿宋_GBK" w:cs="宋体"/>
          <w:color w:val="000000" w:themeColor="text1"/>
          <w:sz w:val="28"/>
          <w:szCs w:val="28"/>
          <w:u w:val="single"/>
          <w14:textFill>
            <w14:solidFill>
              <w14:schemeClr w14:val="tx1"/>
            </w14:solidFill>
          </w14:textFill>
        </w:rPr>
        <w:t xml:space="preserve">                                      （单位名称）</w:t>
      </w:r>
      <w:r>
        <w:rPr>
          <w:rFonts w:hint="eastAsia" w:ascii="方正仿宋_GBK" w:hAnsi="宋体" w:eastAsia="方正仿宋_GBK" w:cs="宋体"/>
          <w:color w:val="000000" w:themeColor="text1"/>
          <w:sz w:val="28"/>
          <w:szCs w:val="28"/>
          <w14:textFill>
            <w14:solidFill>
              <w14:schemeClr w14:val="tx1"/>
            </w14:solidFill>
          </w14:textFill>
        </w:rPr>
        <w:t>的法定代表人，</w:t>
      </w:r>
      <w:r>
        <w:rPr>
          <w:rFonts w:hint="eastAsia" w:ascii="方正仿宋_GBK" w:hAnsi="宋体" w:eastAsia="方正仿宋_GBK"/>
          <w:color w:val="000000" w:themeColor="text1"/>
          <w:sz w:val="28"/>
          <w:szCs w:val="28"/>
          <w14:textFill>
            <w14:solidFill>
              <w14:schemeClr w14:val="tx1"/>
            </w14:solidFill>
          </w14:textFill>
        </w:rPr>
        <w:t>特</w:t>
      </w:r>
      <w:r>
        <w:rPr>
          <w:rFonts w:hint="eastAsia" w:ascii="方正仿宋_GBK" w:hAnsi="宋体" w:eastAsia="方正仿宋_GBK" w:cs="宋体"/>
          <w:color w:val="000000" w:themeColor="text1"/>
          <w:sz w:val="28"/>
          <w:szCs w:val="28"/>
          <w14:textFill>
            <w14:solidFill>
              <w14:schemeClr w14:val="tx1"/>
            </w14:solidFill>
          </w14:textFill>
        </w:rPr>
        <w:t>授权委托</w:t>
      </w:r>
      <w:r>
        <w:rPr>
          <w:rFonts w:hint="eastAsia" w:ascii="方正仿宋_GBK" w:hAnsi="宋体" w:eastAsia="方正仿宋_GBK" w:cs="宋体"/>
          <w:bCs/>
          <w:color w:val="000000" w:themeColor="text1"/>
          <w:sz w:val="28"/>
          <w:szCs w:val="28"/>
          <w14:textFill>
            <w14:solidFill>
              <w14:schemeClr w14:val="tx1"/>
            </w14:solidFill>
          </w14:textFill>
        </w:rPr>
        <w:t>本公司</w:t>
      </w:r>
      <w:r>
        <w:rPr>
          <w:rFonts w:hint="eastAsia" w:ascii="方正仿宋_GBK" w:hAnsi="宋体" w:eastAsia="方正仿宋_GBK" w:cs="宋体"/>
          <w:color w:val="000000" w:themeColor="text1"/>
          <w:sz w:val="28"/>
          <w:szCs w:val="28"/>
          <w14:textFill>
            <w14:solidFill>
              <w14:schemeClr w14:val="tx1"/>
            </w14:solidFill>
          </w14:textFill>
        </w:rPr>
        <w:t>的</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（身份证号码：</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代表我单位全权办理对上述项目的比选、签约等具体工作，并签署全部有关的文件、协议及合同。</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我单位对被授权人的签名负全部责任。</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被授权人签名：                    法定代表人签名：</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职  务：                            职  务：</w:t>
      </w:r>
    </w:p>
    <w:p>
      <w:pPr>
        <w:snapToGrid w:val="0"/>
        <w:spacing w:line="360" w:lineRule="auto"/>
        <w:rPr>
          <w:rFonts w:ascii="方正仿宋_GBK" w:hAnsi="宋体" w:eastAsia="方正仿宋_GBK"/>
          <w:color w:val="000000" w:themeColor="text1"/>
          <w:sz w:val="28"/>
          <w:szCs w:val="28"/>
          <w14:textFill>
            <w14:solidFill>
              <w14:schemeClr w14:val="tx1"/>
            </w14:solidFill>
          </w14:textFill>
        </w:rPr>
      </w:pPr>
    </w:p>
    <w:p>
      <w:pPr>
        <w:snapToGrid w:val="0"/>
        <w:spacing w:line="360" w:lineRule="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公章：</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5" w:hRule="atLeast"/>
        </w:trPr>
        <w:tc>
          <w:tcPr>
            <w:tcW w:w="4261" w:type="dxa"/>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法定代表人身份证</w:t>
            </w:r>
          </w:p>
          <w:p>
            <w:pPr>
              <w:jc w:val="center"/>
              <w:rPr>
                <w:rFonts w:ascii="方正仿宋_GBK" w:eastAsia="方正仿宋_GBK"/>
                <w:color w:val="000000" w:themeColor="text1"/>
                <w:sz w:val="28"/>
                <w:szCs w:val="28"/>
                <w14:textFill>
                  <w14:solidFill>
                    <w14:schemeClr w14:val="tx1"/>
                  </w14:solidFill>
                </w14:textFill>
              </w:rPr>
            </w:pPr>
          </w:p>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正反两面</w:t>
            </w:r>
          </w:p>
          <w:p>
            <w:pPr>
              <w:rPr>
                <w:rFonts w:ascii="方正仿宋_GBK" w:eastAsia="方正仿宋_GBK"/>
                <w:color w:val="000000" w:themeColor="text1"/>
                <w:sz w:val="28"/>
                <w:szCs w:val="28"/>
                <w14:textFill>
                  <w14:solidFill>
                    <w14:schemeClr w14:val="tx1"/>
                  </w14:solidFill>
                </w14:textFill>
              </w:rPr>
            </w:pPr>
          </w:p>
        </w:tc>
        <w:tc>
          <w:tcPr>
            <w:tcW w:w="4261" w:type="dxa"/>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委托代理人身份证</w:t>
            </w:r>
          </w:p>
          <w:p>
            <w:pPr>
              <w:jc w:val="center"/>
              <w:rPr>
                <w:rFonts w:ascii="方正仿宋_GBK" w:eastAsia="方正仿宋_GBK"/>
                <w:color w:val="000000" w:themeColor="text1"/>
                <w:sz w:val="28"/>
                <w:szCs w:val="28"/>
                <w14:textFill>
                  <w14:solidFill>
                    <w14:schemeClr w14:val="tx1"/>
                  </w14:solidFill>
                </w14:textFill>
              </w:rPr>
            </w:pPr>
          </w:p>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正反两面</w:t>
            </w:r>
          </w:p>
          <w:p>
            <w:pPr>
              <w:rPr>
                <w:rFonts w:ascii="方正仿宋_GBK" w:eastAsia="方正仿宋_GBK"/>
                <w:color w:val="000000" w:themeColor="text1"/>
                <w:sz w:val="28"/>
                <w:szCs w:val="28"/>
                <w14:textFill>
                  <w14:solidFill>
                    <w14:schemeClr w14:val="tx1"/>
                  </w14:solidFill>
                </w14:textFill>
              </w:rPr>
            </w:pPr>
          </w:p>
        </w:tc>
      </w:tr>
    </w:tbl>
    <w:p>
      <w:pPr>
        <w:widowControl/>
        <w:jc w:val="left"/>
        <w:rPr>
          <w:rFonts w:ascii="方正仿宋_GBK" w:hAnsi="宋体" w:eastAsia="方正仿宋_GBK" w:cs="MingLiU"/>
          <w:color w:val="000000" w:themeColor="text1"/>
          <w:kern w:val="0"/>
          <w14:textFill>
            <w14:solidFill>
              <w14:schemeClr w14:val="tx1"/>
            </w14:solidFill>
          </w14:textFill>
        </w:rPr>
      </w:pPr>
      <w:r>
        <w:rPr>
          <w:rFonts w:hint="eastAsia" w:ascii="方正仿宋_GBK" w:hAnsi="宋体" w:eastAsia="方正仿宋_GBK" w:cs="MingLiU"/>
          <w:color w:val="000000" w:themeColor="text1"/>
          <w:kern w:val="0"/>
          <w14:textFill>
            <w14:solidFill>
              <w14:schemeClr w14:val="tx1"/>
            </w14:solidFill>
          </w14:textFill>
        </w:rPr>
        <w:t>注：1、法定代表人参加投标活动并签署文件的不需要授权委托书，只需提供法定代表人身份证明；非法定代表人参加投标活动及签署文件的除提供法定代表人身份证明外还须提供授权委托书。</w:t>
      </w:r>
    </w:p>
    <w:p>
      <w:pPr>
        <w:widowControl/>
        <w:jc w:val="left"/>
        <w:rPr>
          <w:rFonts w:ascii="方正仿宋_GBK" w:hAnsi="宋体" w:eastAsia="方正仿宋_GBK" w:cs="MingLiU"/>
          <w:color w:val="000000" w:themeColor="text1"/>
          <w:kern w:val="0"/>
          <w:sz w:val="32"/>
          <w:szCs w:val="32"/>
          <w14:textFill>
            <w14:solidFill>
              <w14:schemeClr w14:val="tx1"/>
            </w14:solidFill>
          </w14:textFill>
        </w:rPr>
      </w:pPr>
      <w:r>
        <w:rPr>
          <w:rFonts w:hint="eastAsia" w:ascii="方正仿宋_GBK" w:hAnsi="宋体" w:eastAsia="方正仿宋_GBK" w:cs="MingLiU"/>
          <w:color w:val="000000" w:themeColor="text1"/>
          <w:kern w:val="0"/>
          <w:sz w:val="32"/>
          <w:szCs w:val="32"/>
          <w14:textFill>
            <w14:solidFill>
              <w14:schemeClr w14:val="tx1"/>
            </w14:solidFill>
          </w14:textFill>
        </w:rPr>
        <w:t>附件</w:t>
      </w:r>
      <w:r>
        <w:rPr>
          <w:rFonts w:ascii="方正仿宋_GBK" w:hAnsi="宋体" w:eastAsia="方正仿宋_GBK" w:cs="MingLiU"/>
          <w:color w:val="000000" w:themeColor="text1"/>
          <w:kern w:val="0"/>
          <w:sz w:val="32"/>
          <w:szCs w:val="32"/>
          <w14:textFill>
            <w14:solidFill>
              <w14:schemeClr w14:val="tx1"/>
            </w14:solidFill>
          </w14:textFill>
        </w:rPr>
        <w:t>5</w:t>
      </w:r>
    </w:p>
    <w:p>
      <w:pPr>
        <w:tabs>
          <w:tab w:val="left" w:pos="6300"/>
        </w:tabs>
        <w:snapToGrid w:val="0"/>
        <w:spacing w:line="400" w:lineRule="atLeast"/>
        <w:jc w:val="center"/>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诚信声明（格式）</w:t>
      </w:r>
    </w:p>
    <w:p>
      <w:pPr>
        <w:snapToGrid w:val="0"/>
        <w:spacing w:line="360" w:lineRule="auto"/>
        <w:rPr>
          <w:rFonts w:ascii="方正仿宋_GBK" w:hAnsi="宋体" w:eastAsia="方正仿宋_GBK"/>
          <w:b/>
          <w:color w:val="000000" w:themeColor="text1"/>
          <w:sz w:val="28"/>
          <w:szCs w:val="28"/>
          <w:bdr w:val="single" w:color="auto" w:sz="4" w:space="0"/>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比选项目名称：</w:t>
      </w: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60" w:lineRule="exact"/>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致：（比选单位）：</w:t>
      </w:r>
    </w:p>
    <w:p>
      <w:pPr>
        <w:pStyle w:val="20"/>
        <w:spacing w:line="560" w:lineRule="exact"/>
        <w:ind w:firstLine="560" w:firstLineChars="200"/>
        <w:jc w:val="left"/>
        <w:rPr>
          <w:rFonts w:ascii="方正仿宋_GBK" w:hAnsi="宋体" w:eastAsia="方正仿宋_GBK"/>
          <w:b w:val="0"/>
          <w:color w:val="000000" w:themeColor="text1"/>
          <w:sz w:val="28"/>
          <w:szCs w:val="28"/>
          <w14:textFill>
            <w14:solidFill>
              <w14:schemeClr w14:val="tx1"/>
            </w14:solidFill>
          </w14:textFill>
        </w:rPr>
      </w:pPr>
      <w:r>
        <w:rPr>
          <w:rFonts w:hint="eastAsia" w:ascii="方正仿宋_GBK" w:hAnsi="宋体" w:eastAsia="方正仿宋_GBK"/>
          <w:b w:val="0"/>
          <w:color w:val="000000" w:themeColor="text1"/>
          <w:sz w:val="28"/>
          <w:szCs w:val="28"/>
          <w:u w:val="single"/>
          <w14:textFill>
            <w14:solidFill>
              <w14:schemeClr w14:val="tx1"/>
            </w14:solidFill>
          </w14:textFill>
        </w:rPr>
        <w:t>（竞标人名称）</w:t>
      </w:r>
      <w:r>
        <w:rPr>
          <w:rFonts w:hint="eastAsia" w:ascii="方正仿宋_GBK" w:hAnsi="宋体" w:eastAsia="方正仿宋_GBK"/>
          <w:b w:val="0"/>
          <w:color w:val="000000" w:themeColor="text1"/>
          <w:sz w:val="28"/>
          <w:szCs w:val="28"/>
          <w14:textFill>
            <w14:solidFill>
              <w14:schemeClr w14:val="tx1"/>
            </w14:solidFill>
          </w14:textFill>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bCs/>
          <w:color w:val="000000" w:themeColor="text1"/>
          <w:sz w:val="28"/>
          <w:szCs w:val="28"/>
          <w14:textFill>
            <w14:solidFill>
              <w14:schemeClr w14:val="tx1"/>
            </w14:solidFill>
          </w14:textFill>
        </w:rPr>
        <w:t xml:space="preserve">    特此声明。</w:t>
      </w:r>
    </w:p>
    <w:p>
      <w:pPr>
        <w:tabs>
          <w:tab w:val="left" w:pos="6300"/>
        </w:tabs>
        <w:snapToGrid w:val="0"/>
        <w:spacing w:line="52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olor w:val="000000" w:themeColor="text1"/>
          <w:sz w:val="28"/>
          <w:szCs w:val="28"/>
          <w14:textFill>
            <w14:solidFill>
              <w14:schemeClr w14:val="tx1"/>
            </w14:solidFill>
          </w14:textFill>
        </w:rPr>
        <w:t>（竞标人公章）</w:t>
      </w:r>
    </w:p>
    <w:sectPr>
      <w:headerReference r:id="rId4" w:type="default"/>
      <w:headerReference r:id="rId5" w:type="even"/>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442C2"/>
    <w:multiLevelType w:val="multilevel"/>
    <w:tmpl w:val="290442C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1C6F1A"/>
    <w:multiLevelType w:val="singleLevel"/>
    <w:tmpl w:val="4D1C6F1A"/>
    <w:lvl w:ilvl="0" w:tentative="0">
      <w:start w:val="1"/>
      <w:numFmt w:val="decimal"/>
      <w:lvlText w:val="%1."/>
      <w:lvlJc w:val="left"/>
      <w:pPr>
        <w:tabs>
          <w:tab w:val="left" w:pos="312"/>
        </w:tabs>
      </w:pPr>
    </w:lvl>
  </w:abstractNum>
  <w:abstractNum w:abstractNumId="2">
    <w:nsid w:val="556F62E0"/>
    <w:multiLevelType w:val="singleLevel"/>
    <w:tmpl w:val="556F62E0"/>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00C01"/>
    <w:rsid w:val="000329B6"/>
    <w:rsid w:val="000330BB"/>
    <w:rsid w:val="00042C26"/>
    <w:rsid w:val="0005441C"/>
    <w:rsid w:val="00055C67"/>
    <w:rsid w:val="00055C74"/>
    <w:rsid w:val="000565A7"/>
    <w:rsid w:val="000635A7"/>
    <w:rsid w:val="00064559"/>
    <w:rsid w:val="000652E2"/>
    <w:rsid w:val="00067BE4"/>
    <w:rsid w:val="0007336B"/>
    <w:rsid w:val="0007447D"/>
    <w:rsid w:val="000814AC"/>
    <w:rsid w:val="000855B3"/>
    <w:rsid w:val="00086E02"/>
    <w:rsid w:val="0009648E"/>
    <w:rsid w:val="000A6473"/>
    <w:rsid w:val="000A6EC6"/>
    <w:rsid w:val="000B4F65"/>
    <w:rsid w:val="000B6539"/>
    <w:rsid w:val="000B7C66"/>
    <w:rsid w:val="000D4FFB"/>
    <w:rsid w:val="000E770F"/>
    <w:rsid w:val="000F5ADE"/>
    <w:rsid w:val="00106A81"/>
    <w:rsid w:val="00112657"/>
    <w:rsid w:val="00122450"/>
    <w:rsid w:val="00131DEB"/>
    <w:rsid w:val="00133E9C"/>
    <w:rsid w:val="00140290"/>
    <w:rsid w:val="00145EC1"/>
    <w:rsid w:val="00156FDD"/>
    <w:rsid w:val="00157689"/>
    <w:rsid w:val="0016451F"/>
    <w:rsid w:val="001674D9"/>
    <w:rsid w:val="00167862"/>
    <w:rsid w:val="0017713F"/>
    <w:rsid w:val="00182BF6"/>
    <w:rsid w:val="00185357"/>
    <w:rsid w:val="00191BE7"/>
    <w:rsid w:val="00194A6A"/>
    <w:rsid w:val="001A2C8D"/>
    <w:rsid w:val="001B6FDB"/>
    <w:rsid w:val="001B70B5"/>
    <w:rsid w:val="001D18F7"/>
    <w:rsid w:val="001F2C9E"/>
    <w:rsid w:val="00201141"/>
    <w:rsid w:val="00207489"/>
    <w:rsid w:val="00216BC3"/>
    <w:rsid w:val="002236CF"/>
    <w:rsid w:val="00242914"/>
    <w:rsid w:val="002430C4"/>
    <w:rsid w:val="00250BCA"/>
    <w:rsid w:val="00260E26"/>
    <w:rsid w:val="00262C77"/>
    <w:rsid w:val="00264A43"/>
    <w:rsid w:val="0027283E"/>
    <w:rsid w:val="002769D0"/>
    <w:rsid w:val="002847D2"/>
    <w:rsid w:val="002A107D"/>
    <w:rsid w:val="002B23A2"/>
    <w:rsid w:val="002B7A38"/>
    <w:rsid w:val="002D06DE"/>
    <w:rsid w:val="002D66C5"/>
    <w:rsid w:val="002E0454"/>
    <w:rsid w:val="002E08F8"/>
    <w:rsid w:val="002E3901"/>
    <w:rsid w:val="002F20B3"/>
    <w:rsid w:val="002F3FD6"/>
    <w:rsid w:val="00307668"/>
    <w:rsid w:val="0032588C"/>
    <w:rsid w:val="0032705F"/>
    <w:rsid w:val="00331A28"/>
    <w:rsid w:val="0033289B"/>
    <w:rsid w:val="00335FFB"/>
    <w:rsid w:val="00342D4C"/>
    <w:rsid w:val="00354264"/>
    <w:rsid w:val="00355667"/>
    <w:rsid w:val="00363A0A"/>
    <w:rsid w:val="00370D34"/>
    <w:rsid w:val="003746B3"/>
    <w:rsid w:val="00376F93"/>
    <w:rsid w:val="00385384"/>
    <w:rsid w:val="003B3465"/>
    <w:rsid w:val="003B5961"/>
    <w:rsid w:val="003B5DA7"/>
    <w:rsid w:val="003B6D51"/>
    <w:rsid w:val="003C5646"/>
    <w:rsid w:val="003C6EB0"/>
    <w:rsid w:val="003D02ED"/>
    <w:rsid w:val="003E206B"/>
    <w:rsid w:val="003E2D96"/>
    <w:rsid w:val="003E3703"/>
    <w:rsid w:val="003F781F"/>
    <w:rsid w:val="004019F2"/>
    <w:rsid w:val="004038B3"/>
    <w:rsid w:val="00403C2A"/>
    <w:rsid w:val="004075B8"/>
    <w:rsid w:val="00407AD9"/>
    <w:rsid w:val="00410228"/>
    <w:rsid w:val="00410A8E"/>
    <w:rsid w:val="0041354E"/>
    <w:rsid w:val="004206D6"/>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B29BA"/>
    <w:rsid w:val="004B3A76"/>
    <w:rsid w:val="004C4A6F"/>
    <w:rsid w:val="004D50A6"/>
    <w:rsid w:val="004D5746"/>
    <w:rsid w:val="004E1282"/>
    <w:rsid w:val="004E6726"/>
    <w:rsid w:val="004F1684"/>
    <w:rsid w:val="004F6125"/>
    <w:rsid w:val="00510B26"/>
    <w:rsid w:val="00515365"/>
    <w:rsid w:val="00531D93"/>
    <w:rsid w:val="005328A2"/>
    <w:rsid w:val="00535B7C"/>
    <w:rsid w:val="00535FAA"/>
    <w:rsid w:val="00546004"/>
    <w:rsid w:val="00553ADB"/>
    <w:rsid w:val="0056082B"/>
    <w:rsid w:val="0056583C"/>
    <w:rsid w:val="00567796"/>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2D4C"/>
    <w:rsid w:val="005E3117"/>
    <w:rsid w:val="005E5046"/>
    <w:rsid w:val="005F6953"/>
    <w:rsid w:val="005F7AC0"/>
    <w:rsid w:val="006002CA"/>
    <w:rsid w:val="006033E7"/>
    <w:rsid w:val="0060518B"/>
    <w:rsid w:val="006067A5"/>
    <w:rsid w:val="00606871"/>
    <w:rsid w:val="00612E20"/>
    <w:rsid w:val="0061494B"/>
    <w:rsid w:val="0061599D"/>
    <w:rsid w:val="006212C2"/>
    <w:rsid w:val="00622683"/>
    <w:rsid w:val="00626932"/>
    <w:rsid w:val="00632335"/>
    <w:rsid w:val="006432D4"/>
    <w:rsid w:val="00665ACE"/>
    <w:rsid w:val="00666C55"/>
    <w:rsid w:val="00670CC6"/>
    <w:rsid w:val="00671750"/>
    <w:rsid w:val="00671B9F"/>
    <w:rsid w:val="00691752"/>
    <w:rsid w:val="006944C7"/>
    <w:rsid w:val="006965D0"/>
    <w:rsid w:val="006969AE"/>
    <w:rsid w:val="006B51B0"/>
    <w:rsid w:val="006B5265"/>
    <w:rsid w:val="006C7950"/>
    <w:rsid w:val="006D4A14"/>
    <w:rsid w:val="006D5B1F"/>
    <w:rsid w:val="006D7FBA"/>
    <w:rsid w:val="006E2D8D"/>
    <w:rsid w:val="006E4CDB"/>
    <w:rsid w:val="006F77B5"/>
    <w:rsid w:val="006F78BE"/>
    <w:rsid w:val="00700A2C"/>
    <w:rsid w:val="00702C2C"/>
    <w:rsid w:val="0070455C"/>
    <w:rsid w:val="00714C36"/>
    <w:rsid w:val="007438D3"/>
    <w:rsid w:val="00745876"/>
    <w:rsid w:val="00764485"/>
    <w:rsid w:val="00766636"/>
    <w:rsid w:val="0076729D"/>
    <w:rsid w:val="00771C42"/>
    <w:rsid w:val="00773681"/>
    <w:rsid w:val="00783DC6"/>
    <w:rsid w:val="00786949"/>
    <w:rsid w:val="00793126"/>
    <w:rsid w:val="00795B84"/>
    <w:rsid w:val="007B4C3E"/>
    <w:rsid w:val="007B5DCF"/>
    <w:rsid w:val="007C5C7E"/>
    <w:rsid w:val="007E36FD"/>
    <w:rsid w:val="007E5BED"/>
    <w:rsid w:val="007F5D2F"/>
    <w:rsid w:val="008013E5"/>
    <w:rsid w:val="00806424"/>
    <w:rsid w:val="00812034"/>
    <w:rsid w:val="008127DA"/>
    <w:rsid w:val="00814798"/>
    <w:rsid w:val="00815780"/>
    <w:rsid w:val="00821FBF"/>
    <w:rsid w:val="00824035"/>
    <w:rsid w:val="008315C7"/>
    <w:rsid w:val="00832EF5"/>
    <w:rsid w:val="00834B5A"/>
    <w:rsid w:val="008440BF"/>
    <w:rsid w:val="00844D35"/>
    <w:rsid w:val="00846EF2"/>
    <w:rsid w:val="00853510"/>
    <w:rsid w:val="00854FE9"/>
    <w:rsid w:val="008614B4"/>
    <w:rsid w:val="00865E5C"/>
    <w:rsid w:val="00870BF5"/>
    <w:rsid w:val="008731C4"/>
    <w:rsid w:val="00873BBC"/>
    <w:rsid w:val="0087653E"/>
    <w:rsid w:val="00877DB2"/>
    <w:rsid w:val="00881D7A"/>
    <w:rsid w:val="008874B2"/>
    <w:rsid w:val="00896048"/>
    <w:rsid w:val="00896DFA"/>
    <w:rsid w:val="008A140B"/>
    <w:rsid w:val="008B1DAF"/>
    <w:rsid w:val="008B3784"/>
    <w:rsid w:val="008B6BF8"/>
    <w:rsid w:val="008C7B47"/>
    <w:rsid w:val="008D76B8"/>
    <w:rsid w:val="008E1557"/>
    <w:rsid w:val="00903830"/>
    <w:rsid w:val="009057A4"/>
    <w:rsid w:val="00905D04"/>
    <w:rsid w:val="00913A8D"/>
    <w:rsid w:val="0092124D"/>
    <w:rsid w:val="00936956"/>
    <w:rsid w:val="00954C0E"/>
    <w:rsid w:val="00964DD1"/>
    <w:rsid w:val="0097081C"/>
    <w:rsid w:val="00973371"/>
    <w:rsid w:val="009746EF"/>
    <w:rsid w:val="00974FC5"/>
    <w:rsid w:val="00976711"/>
    <w:rsid w:val="00982E0F"/>
    <w:rsid w:val="0098302E"/>
    <w:rsid w:val="0099067E"/>
    <w:rsid w:val="009A00BE"/>
    <w:rsid w:val="009A30F9"/>
    <w:rsid w:val="009B1746"/>
    <w:rsid w:val="009C23E1"/>
    <w:rsid w:val="009C4651"/>
    <w:rsid w:val="009D0B2A"/>
    <w:rsid w:val="009D4671"/>
    <w:rsid w:val="009E2103"/>
    <w:rsid w:val="009F7ECD"/>
    <w:rsid w:val="00A11019"/>
    <w:rsid w:val="00A174B1"/>
    <w:rsid w:val="00A24774"/>
    <w:rsid w:val="00A26DD3"/>
    <w:rsid w:val="00A33292"/>
    <w:rsid w:val="00A3402C"/>
    <w:rsid w:val="00A343C7"/>
    <w:rsid w:val="00A40CEA"/>
    <w:rsid w:val="00A4166B"/>
    <w:rsid w:val="00A52579"/>
    <w:rsid w:val="00A531A9"/>
    <w:rsid w:val="00A56329"/>
    <w:rsid w:val="00A6692F"/>
    <w:rsid w:val="00A75D44"/>
    <w:rsid w:val="00A80279"/>
    <w:rsid w:val="00A808C7"/>
    <w:rsid w:val="00A827F0"/>
    <w:rsid w:val="00A87E6B"/>
    <w:rsid w:val="00A94CD5"/>
    <w:rsid w:val="00AA5E94"/>
    <w:rsid w:val="00AA649D"/>
    <w:rsid w:val="00AB3B7C"/>
    <w:rsid w:val="00AC210E"/>
    <w:rsid w:val="00AC442F"/>
    <w:rsid w:val="00AC7E85"/>
    <w:rsid w:val="00AD4B24"/>
    <w:rsid w:val="00AE15E3"/>
    <w:rsid w:val="00AF2AC9"/>
    <w:rsid w:val="00AF3115"/>
    <w:rsid w:val="00AF5A3D"/>
    <w:rsid w:val="00AF5EC0"/>
    <w:rsid w:val="00AF77ED"/>
    <w:rsid w:val="00B01ED4"/>
    <w:rsid w:val="00B0670A"/>
    <w:rsid w:val="00B07400"/>
    <w:rsid w:val="00B162F0"/>
    <w:rsid w:val="00B17EC6"/>
    <w:rsid w:val="00B24783"/>
    <w:rsid w:val="00B269B8"/>
    <w:rsid w:val="00B30E69"/>
    <w:rsid w:val="00B34ACF"/>
    <w:rsid w:val="00B448FA"/>
    <w:rsid w:val="00B51E6C"/>
    <w:rsid w:val="00B54BC3"/>
    <w:rsid w:val="00B56AA3"/>
    <w:rsid w:val="00B57654"/>
    <w:rsid w:val="00B8259A"/>
    <w:rsid w:val="00B949D0"/>
    <w:rsid w:val="00BA06FA"/>
    <w:rsid w:val="00BA0D3D"/>
    <w:rsid w:val="00BA7648"/>
    <w:rsid w:val="00BB3F2C"/>
    <w:rsid w:val="00BC013C"/>
    <w:rsid w:val="00BD192A"/>
    <w:rsid w:val="00BE3E62"/>
    <w:rsid w:val="00BE7BF7"/>
    <w:rsid w:val="00BF4178"/>
    <w:rsid w:val="00BF455F"/>
    <w:rsid w:val="00BF4E68"/>
    <w:rsid w:val="00C01E80"/>
    <w:rsid w:val="00C0346E"/>
    <w:rsid w:val="00C04619"/>
    <w:rsid w:val="00C05636"/>
    <w:rsid w:val="00C06D25"/>
    <w:rsid w:val="00C164D2"/>
    <w:rsid w:val="00C217DA"/>
    <w:rsid w:val="00C259B8"/>
    <w:rsid w:val="00C36E86"/>
    <w:rsid w:val="00C43C37"/>
    <w:rsid w:val="00C457D5"/>
    <w:rsid w:val="00C46F86"/>
    <w:rsid w:val="00C55276"/>
    <w:rsid w:val="00C55BC4"/>
    <w:rsid w:val="00C7271C"/>
    <w:rsid w:val="00C75A67"/>
    <w:rsid w:val="00C77F35"/>
    <w:rsid w:val="00C801A9"/>
    <w:rsid w:val="00C80B89"/>
    <w:rsid w:val="00C83BD3"/>
    <w:rsid w:val="00CA2DE0"/>
    <w:rsid w:val="00CA3068"/>
    <w:rsid w:val="00CA49C3"/>
    <w:rsid w:val="00CB7F86"/>
    <w:rsid w:val="00CC01CF"/>
    <w:rsid w:val="00CC2C6F"/>
    <w:rsid w:val="00CF5542"/>
    <w:rsid w:val="00D02133"/>
    <w:rsid w:val="00D0339E"/>
    <w:rsid w:val="00D050EB"/>
    <w:rsid w:val="00D12398"/>
    <w:rsid w:val="00D169EB"/>
    <w:rsid w:val="00D171B4"/>
    <w:rsid w:val="00D20697"/>
    <w:rsid w:val="00D23ED8"/>
    <w:rsid w:val="00D2534E"/>
    <w:rsid w:val="00D329B3"/>
    <w:rsid w:val="00D33C7C"/>
    <w:rsid w:val="00D362AF"/>
    <w:rsid w:val="00D4369A"/>
    <w:rsid w:val="00D4519B"/>
    <w:rsid w:val="00D45E5C"/>
    <w:rsid w:val="00D46868"/>
    <w:rsid w:val="00D560F8"/>
    <w:rsid w:val="00D602F9"/>
    <w:rsid w:val="00D60FBC"/>
    <w:rsid w:val="00D65492"/>
    <w:rsid w:val="00D7228D"/>
    <w:rsid w:val="00D802D5"/>
    <w:rsid w:val="00D8075B"/>
    <w:rsid w:val="00D83CB4"/>
    <w:rsid w:val="00D90773"/>
    <w:rsid w:val="00D96F2F"/>
    <w:rsid w:val="00D976E6"/>
    <w:rsid w:val="00DA2D42"/>
    <w:rsid w:val="00DB0C45"/>
    <w:rsid w:val="00DB4BB1"/>
    <w:rsid w:val="00DB5F56"/>
    <w:rsid w:val="00DC35E6"/>
    <w:rsid w:val="00DC3E10"/>
    <w:rsid w:val="00DC55A9"/>
    <w:rsid w:val="00DD191A"/>
    <w:rsid w:val="00DD348B"/>
    <w:rsid w:val="00DF503E"/>
    <w:rsid w:val="00DF5440"/>
    <w:rsid w:val="00E0187B"/>
    <w:rsid w:val="00E165AD"/>
    <w:rsid w:val="00E170C9"/>
    <w:rsid w:val="00E26DBB"/>
    <w:rsid w:val="00E26F0E"/>
    <w:rsid w:val="00E27017"/>
    <w:rsid w:val="00E3245B"/>
    <w:rsid w:val="00E34DBA"/>
    <w:rsid w:val="00E35F31"/>
    <w:rsid w:val="00E449AF"/>
    <w:rsid w:val="00E47E39"/>
    <w:rsid w:val="00E5576A"/>
    <w:rsid w:val="00E67BA9"/>
    <w:rsid w:val="00E7197A"/>
    <w:rsid w:val="00E72E82"/>
    <w:rsid w:val="00E830FE"/>
    <w:rsid w:val="00EA087A"/>
    <w:rsid w:val="00EA2A03"/>
    <w:rsid w:val="00EB2D55"/>
    <w:rsid w:val="00EB4EF2"/>
    <w:rsid w:val="00EB580B"/>
    <w:rsid w:val="00EB739B"/>
    <w:rsid w:val="00EC022C"/>
    <w:rsid w:val="00EC514C"/>
    <w:rsid w:val="00ED00C9"/>
    <w:rsid w:val="00ED19C5"/>
    <w:rsid w:val="00ED1A44"/>
    <w:rsid w:val="00ED2FE7"/>
    <w:rsid w:val="00ED4BD1"/>
    <w:rsid w:val="00ED7168"/>
    <w:rsid w:val="00EE02C6"/>
    <w:rsid w:val="00EF3116"/>
    <w:rsid w:val="00EF7726"/>
    <w:rsid w:val="00EF77A2"/>
    <w:rsid w:val="00F05131"/>
    <w:rsid w:val="00F1052E"/>
    <w:rsid w:val="00F1625F"/>
    <w:rsid w:val="00F23565"/>
    <w:rsid w:val="00F54576"/>
    <w:rsid w:val="00F55897"/>
    <w:rsid w:val="00F601EC"/>
    <w:rsid w:val="00F676E7"/>
    <w:rsid w:val="00F72044"/>
    <w:rsid w:val="00F80230"/>
    <w:rsid w:val="00F82127"/>
    <w:rsid w:val="00F94D5E"/>
    <w:rsid w:val="00FA101F"/>
    <w:rsid w:val="00FA2008"/>
    <w:rsid w:val="00FA4F35"/>
    <w:rsid w:val="00FB14A2"/>
    <w:rsid w:val="00FB62A0"/>
    <w:rsid w:val="00FB6A7D"/>
    <w:rsid w:val="00FB76A0"/>
    <w:rsid w:val="00FC2636"/>
    <w:rsid w:val="00FC72C4"/>
    <w:rsid w:val="00FD2167"/>
    <w:rsid w:val="00FE4C2E"/>
    <w:rsid w:val="00FF3FA7"/>
    <w:rsid w:val="00FF629C"/>
    <w:rsid w:val="08862CA8"/>
    <w:rsid w:val="1117098B"/>
    <w:rsid w:val="1B8D73B5"/>
    <w:rsid w:val="1BAF26FD"/>
    <w:rsid w:val="24876914"/>
    <w:rsid w:val="26496C0A"/>
    <w:rsid w:val="2C6C5D39"/>
    <w:rsid w:val="2FF31F49"/>
    <w:rsid w:val="306A5FC4"/>
    <w:rsid w:val="32FA6587"/>
    <w:rsid w:val="335C5BB5"/>
    <w:rsid w:val="33963D36"/>
    <w:rsid w:val="39B27B36"/>
    <w:rsid w:val="41763B82"/>
    <w:rsid w:val="43160CE2"/>
    <w:rsid w:val="43323541"/>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E3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qFormat/>
    <w:uiPriority w:val="0"/>
    <w:pPr>
      <w:keepNext/>
      <w:keepLines/>
      <w:spacing w:before="260" w:after="260" w:line="413" w:lineRule="auto"/>
      <w:outlineLvl w:val="2"/>
    </w:pPr>
    <w:rPr>
      <w:rFonts w:ascii="Calibri" w:hAnsi="Calibri" w:eastAsia="宋体" w:cs="Times New Roman"/>
      <w:b/>
      <w:sz w:val="32"/>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22"/>
    <w:semiHidden/>
    <w:unhideWhenUsed/>
    <w:qFormat/>
    <w:uiPriority w:val="0"/>
    <w:pPr>
      <w:spacing w:after="120"/>
    </w:pPr>
    <w:rPr>
      <w:rFonts w:ascii="Calibri" w:hAnsi="Calibri" w:eastAsia="宋体" w:cs="黑体"/>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1"/>
    <w:semiHidden/>
    <w:unhideWhenUsed/>
    <w:qFormat/>
    <w:uiPriority w:val="99"/>
    <w:pPr>
      <w:spacing w:after="120" w:line="480" w:lineRule="auto"/>
    </w:pPr>
  </w:style>
  <w:style w:type="paragraph" w:styleId="9">
    <w:name w:val="Body Text First Indent"/>
    <w:basedOn w:val="4"/>
    <w:link w:val="23"/>
    <w:qFormat/>
    <w:uiPriority w:val="0"/>
    <w:pPr>
      <w:ind w:firstLine="420" w:firstLineChars="1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7"/>
    <w:qFormat/>
    <w:uiPriority w:val="99"/>
    <w:rPr>
      <w:sz w:val="18"/>
      <w:szCs w:val="18"/>
    </w:rPr>
  </w:style>
  <w:style w:type="character" w:customStyle="1" w:styleId="14">
    <w:name w:val="页脚 字符"/>
    <w:basedOn w:val="12"/>
    <w:link w:val="6"/>
    <w:qFormat/>
    <w:uiPriority w:val="99"/>
    <w:rPr>
      <w:sz w:val="18"/>
      <w:szCs w:val="18"/>
    </w:rPr>
  </w:style>
  <w:style w:type="character" w:customStyle="1" w:styleId="15">
    <w:name w:val="批注框文本 字符"/>
    <w:basedOn w:val="12"/>
    <w:link w:val="5"/>
    <w:semiHidden/>
    <w:qFormat/>
    <w:uiPriority w:val="99"/>
    <w:rPr>
      <w:sz w:val="18"/>
      <w:szCs w:val="18"/>
    </w:rPr>
  </w:style>
  <w:style w:type="character" w:customStyle="1" w:styleId="16">
    <w:name w:val="标题 3 字符"/>
    <w:basedOn w:val="12"/>
    <w:link w:val="3"/>
    <w:qFormat/>
    <w:uiPriority w:val="0"/>
    <w:rPr>
      <w:rFonts w:ascii="Calibri" w:hAnsi="Calibri" w:eastAsia="宋体" w:cs="Times New Roman"/>
      <w:b/>
      <w:sz w:val="32"/>
      <w:szCs w:val="20"/>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标题 2 字符"/>
    <w:basedOn w:val="12"/>
    <w:link w:val="2"/>
    <w:semiHidden/>
    <w:qFormat/>
    <w:uiPriority w:val="9"/>
    <w:rPr>
      <w:rFonts w:asciiTheme="majorHAnsi" w:hAnsiTheme="majorHAnsi" w:eastAsiaTheme="majorEastAsia" w:cstheme="majorBidi"/>
      <w:b/>
      <w:bCs/>
      <w:sz w:val="32"/>
      <w:szCs w:val="32"/>
    </w:rPr>
  </w:style>
  <w:style w:type="character" w:customStyle="1" w:styleId="19">
    <w:name w:val="fontstyle01"/>
    <w:basedOn w:val="12"/>
    <w:qFormat/>
    <w:uiPriority w:val="0"/>
    <w:rPr>
      <w:rFonts w:hint="eastAsia" w:ascii="宋体" w:hAnsi="宋体" w:eastAsia="宋体"/>
      <w:color w:val="000000"/>
      <w:sz w:val="24"/>
      <w:szCs w:val="24"/>
    </w:rPr>
  </w:style>
  <w:style w:type="paragraph" w:customStyle="1" w:styleId="20">
    <w:name w:val="1"/>
    <w:basedOn w:val="1"/>
    <w:next w:val="8"/>
    <w:qFormat/>
    <w:uiPriority w:val="0"/>
    <w:pPr>
      <w:jc w:val="center"/>
    </w:pPr>
    <w:rPr>
      <w:rFonts w:ascii="Times New Roman" w:hAnsi="Times New Roman" w:eastAsia="宋体" w:cs="Times New Roman"/>
      <w:b/>
      <w:bCs/>
      <w:sz w:val="36"/>
      <w:szCs w:val="21"/>
    </w:rPr>
  </w:style>
  <w:style w:type="character" w:customStyle="1" w:styleId="21">
    <w:name w:val="正文文本 2 字符"/>
    <w:basedOn w:val="12"/>
    <w:link w:val="8"/>
    <w:semiHidden/>
    <w:qFormat/>
    <w:uiPriority w:val="99"/>
    <w:rPr>
      <w:rFonts w:asciiTheme="minorHAnsi" w:hAnsiTheme="minorHAnsi" w:eastAsiaTheme="minorEastAsia" w:cstheme="minorBidi"/>
      <w:kern w:val="2"/>
      <w:sz w:val="21"/>
      <w:szCs w:val="22"/>
    </w:rPr>
  </w:style>
  <w:style w:type="character" w:customStyle="1" w:styleId="22">
    <w:name w:val="正文文本 字符"/>
    <w:basedOn w:val="12"/>
    <w:link w:val="4"/>
    <w:semiHidden/>
    <w:qFormat/>
    <w:uiPriority w:val="0"/>
    <w:rPr>
      <w:rFonts w:ascii="Calibri" w:hAnsi="Calibri" w:cs="黑体"/>
      <w:kern w:val="2"/>
      <w:sz w:val="21"/>
      <w:szCs w:val="24"/>
    </w:rPr>
  </w:style>
  <w:style w:type="character" w:customStyle="1" w:styleId="23">
    <w:name w:val="正文首行缩进 字符"/>
    <w:basedOn w:val="22"/>
    <w:link w:val="9"/>
    <w:qFormat/>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B02D4-42B8-4601-A6C2-A4088B5C419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1027</Words>
  <Characters>5858</Characters>
  <Lines>48</Lines>
  <Paragraphs>13</Paragraphs>
  <TotalTime>780</TotalTime>
  <ScaleCrop>false</ScaleCrop>
  <LinksUpToDate>false</LinksUpToDate>
  <CharactersWithSpaces>6872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2021-07-21T02:32:00Z</dcterms:created>
  <dc:creator>Sky123.Org</dc:creator>
  <cp:lastModifiedBy>妮儿</cp:lastModifiedBy>
  <cp:lastPrinted>2021-12-22T09:12:00Z</cp:lastPrinted>
  <dcterms:modified xsi:type="dcterms:W3CDTF">2021-12-27T09:08:34Z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B5D6F107FBCF4BE5ADB6A22AB09D8840</vt:lpwstr>
  </property>
</Properties>
</file>