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spacing w:line="360" w:lineRule="auto"/>
        <w:rPr>
          <w:rFonts w:ascii="宋体" w:hAnsi="宋体"/>
          <w:color w:val="auto"/>
          <w:sz w:val="44"/>
          <w:szCs w:val="44"/>
        </w:rPr>
      </w:pPr>
      <w:r>
        <w:rPr>
          <w:rFonts w:hint="eastAsia" w:ascii="宋体" w:hAnsi="宋体"/>
          <w:color w:val="auto"/>
          <w:sz w:val="44"/>
          <w:szCs w:val="44"/>
        </w:rPr>
        <w:t>重庆市中医骨科医院整体迁建项目</w:t>
      </w:r>
    </w:p>
    <w:p>
      <w:pPr>
        <w:pStyle w:val="40"/>
        <w:widowControl/>
        <w:spacing w:line="360" w:lineRule="auto"/>
        <w:rPr>
          <w:rFonts w:ascii="宋体" w:hAnsi="宋体"/>
          <w:color w:val="auto"/>
          <w:sz w:val="44"/>
          <w:szCs w:val="44"/>
        </w:rPr>
      </w:pPr>
      <w:r>
        <w:rPr>
          <w:rFonts w:hint="eastAsia" w:ascii="宋体" w:hAnsi="宋体"/>
          <w:color w:val="auto"/>
          <w:sz w:val="44"/>
          <w:szCs w:val="44"/>
          <w:lang w:eastAsia="zh-CN"/>
        </w:rPr>
        <w:t>供配电工程监理</w:t>
      </w:r>
      <w:r>
        <w:rPr>
          <w:rFonts w:hint="eastAsia" w:ascii="宋体" w:hAnsi="宋体"/>
          <w:color w:val="auto"/>
          <w:sz w:val="44"/>
          <w:szCs w:val="44"/>
        </w:rPr>
        <w:t>单位</w:t>
      </w: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240" w:lineRule="exact"/>
        <w:jc w:val="center"/>
        <w:rPr>
          <w:rFonts w:ascii="宋体" w:hAnsi="宋体"/>
          <w:b/>
          <w:color w:val="auto"/>
          <w:sz w:val="72"/>
          <w:szCs w:val="72"/>
        </w:rPr>
      </w:pPr>
    </w:p>
    <w:p>
      <w:pPr>
        <w:spacing w:line="360" w:lineRule="auto"/>
        <w:jc w:val="center"/>
        <w:rPr>
          <w:rFonts w:ascii="宋体" w:hAnsi="宋体"/>
          <w:b/>
          <w:color w:val="auto"/>
          <w:sz w:val="72"/>
          <w:szCs w:val="72"/>
        </w:rPr>
      </w:pPr>
    </w:p>
    <w:p>
      <w:pPr>
        <w:spacing w:line="360" w:lineRule="auto"/>
        <w:jc w:val="center"/>
        <w:rPr>
          <w:rFonts w:ascii="宋体" w:hAnsi="宋体"/>
          <w:b/>
          <w:color w:val="auto"/>
          <w:sz w:val="72"/>
          <w:szCs w:val="72"/>
        </w:rPr>
      </w:pPr>
      <w:r>
        <w:rPr>
          <w:rFonts w:hint="eastAsia" w:ascii="宋体" w:hAnsi="宋体"/>
          <w:b/>
          <w:color w:val="auto"/>
          <w:sz w:val="72"/>
          <w:szCs w:val="72"/>
        </w:rPr>
        <w:t>竞争性比选文件</w:t>
      </w:r>
    </w:p>
    <w:p>
      <w:pPr>
        <w:spacing w:line="360" w:lineRule="auto"/>
        <w:jc w:val="center"/>
        <w:rPr>
          <w:rFonts w:ascii="宋体" w:hAnsi="宋体"/>
          <w:color w:val="auto"/>
          <w:sz w:val="44"/>
        </w:rPr>
      </w:pPr>
    </w:p>
    <w:p>
      <w:pPr>
        <w:spacing w:line="360" w:lineRule="auto"/>
        <w:jc w:val="center"/>
        <w:rPr>
          <w:rFonts w:ascii="宋体" w:hAnsi="宋体"/>
          <w:color w:val="auto"/>
          <w:sz w:val="44"/>
        </w:rPr>
      </w:pPr>
    </w:p>
    <w:p>
      <w:pPr>
        <w:spacing w:line="360" w:lineRule="auto"/>
        <w:jc w:val="center"/>
        <w:rPr>
          <w:rFonts w:ascii="宋体" w:hAnsi="宋体"/>
          <w:color w:val="auto"/>
          <w:sz w:val="44"/>
        </w:rPr>
      </w:pPr>
    </w:p>
    <w:p>
      <w:pPr>
        <w:spacing w:line="360" w:lineRule="auto"/>
        <w:jc w:val="center"/>
        <w:rPr>
          <w:rFonts w:ascii="宋体" w:hAnsi="宋体"/>
          <w:color w:val="auto"/>
          <w:sz w:val="44"/>
        </w:rPr>
      </w:pPr>
    </w:p>
    <w:p>
      <w:pPr>
        <w:spacing w:line="360" w:lineRule="auto"/>
        <w:jc w:val="center"/>
        <w:rPr>
          <w:rFonts w:ascii="宋体" w:hAnsi="宋体"/>
          <w:color w:val="auto"/>
          <w:sz w:val="44"/>
        </w:rPr>
      </w:pPr>
    </w:p>
    <w:p>
      <w:pPr>
        <w:spacing w:line="360" w:lineRule="auto"/>
        <w:rPr>
          <w:rFonts w:ascii="宋体" w:hAnsi="宋体"/>
          <w:color w:val="auto"/>
          <w:sz w:val="44"/>
        </w:rPr>
      </w:pPr>
    </w:p>
    <w:p>
      <w:pPr>
        <w:spacing w:line="360" w:lineRule="auto"/>
        <w:ind w:firstLine="1446" w:firstLineChars="400"/>
        <w:jc w:val="left"/>
        <w:rPr>
          <w:rFonts w:ascii="宋体" w:hAnsi="宋体"/>
          <w:b/>
          <w:color w:val="auto"/>
          <w:sz w:val="36"/>
          <w:szCs w:val="36"/>
        </w:rPr>
      </w:pPr>
      <w:r>
        <w:rPr>
          <w:rFonts w:hint="eastAsia" w:ascii="宋体" w:hAnsi="宋体"/>
          <w:b/>
          <w:color w:val="auto"/>
          <w:sz w:val="36"/>
          <w:szCs w:val="36"/>
        </w:rPr>
        <w:t>比 选 人：重庆市中医骨科医院</w:t>
      </w:r>
    </w:p>
    <w:p>
      <w:pPr>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 xml:space="preserve"> </w:t>
      </w:r>
      <w:r>
        <w:rPr>
          <w:rFonts w:ascii="宋体" w:hAnsi="宋体"/>
          <w:b/>
          <w:color w:val="auto"/>
          <w:sz w:val="36"/>
          <w:szCs w:val="36"/>
          <w:highlight w:val="none"/>
        </w:rPr>
        <w:t xml:space="preserve">           </w:t>
      </w:r>
      <w:r>
        <w:rPr>
          <w:rFonts w:hint="eastAsia" w:ascii="宋体" w:hAnsi="宋体"/>
          <w:b/>
          <w:color w:val="auto"/>
          <w:sz w:val="36"/>
          <w:szCs w:val="36"/>
          <w:highlight w:val="none"/>
        </w:rPr>
        <w:t>重庆市建设项目管理有限公司</w:t>
      </w:r>
    </w:p>
    <w:p>
      <w:pPr>
        <w:spacing w:line="360" w:lineRule="auto"/>
        <w:jc w:val="center"/>
        <w:rPr>
          <w:rFonts w:ascii="宋体" w:hAnsi="宋体"/>
          <w:b/>
          <w:color w:val="auto"/>
          <w:sz w:val="36"/>
          <w:szCs w:val="36"/>
        </w:rPr>
      </w:pPr>
      <w:r>
        <w:rPr>
          <w:rFonts w:ascii="宋体" w:hAnsi="宋体"/>
          <w:b/>
          <w:color w:val="auto"/>
          <w:sz w:val="36"/>
          <w:szCs w:val="36"/>
        </w:rPr>
        <w:t>202</w:t>
      </w:r>
      <w:r>
        <w:rPr>
          <w:rFonts w:hint="eastAsia" w:ascii="宋体" w:hAnsi="宋体"/>
          <w:b/>
          <w:color w:val="auto"/>
          <w:sz w:val="36"/>
          <w:szCs w:val="36"/>
          <w:lang w:val="en-US" w:eastAsia="zh-CN"/>
        </w:rPr>
        <w:t>2</w:t>
      </w:r>
      <w:r>
        <w:rPr>
          <w:rFonts w:hint="eastAsia" w:ascii="宋体" w:hAnsi="宋体"/>
          <w:b/>
          <w:color w:val="auto"/>
          <w:sz w:val="36"/>
          <w:szCs w:val="36"/>
        </w:rPr>
        <w:t>年</w:t>
      </w:r>
      <w:r>
        <w:rPr>
          <w:rFonts w:hint="eastAsia" w:ascii="宋体" w:hAnsi="宋体"/>
          <w:b/>
          <w:color w:val="auto"/>
          <w:sz w:val="36"/>
          <w:szCs w:val="36"/>
          <w:lang w:val="en-US" w:eastAsia="zh-CN"/>
        </w:rPr>
        <w:t>6</w:t>
      </w:r>
      <w:r>
        <w:rPr>
          <w:rFonts w:hint="eastAsia" w:ascii="宋体" w:hAnsi="宋体"/>
          <w:b/>
          <w:color w:val="auto"/>
          <w:sz w:val="36"/>
          <w:szCs w:val="36"/>
        </w:rPr>
        <w:t>月</w:t>
      </w:r>
    </w:p>
    <w:p>
      <w:pPr>
        <w:spacing w:line="700" w:lineRule="exact"/>
        <w:jc w:val="center"/>
        <w:outlineLvl w:val="0"/>
        <w:rPr>
          <w:rFonts w:ascii="宋体" w:hAnsi="宋体"/>
          <w:color w:val="auto"/>
          <w:sz w:val="44"/>
          <w:szCs w:val="36"/>
        </w:rPr>
      </w:pPr>
      <w:r>
        <w:rPr>
          <w:rFonts w:hint="eastAsia" w:ascii="宋体" w:hAnsi="宋体"/>
          <w:color w:val="auto"/>
          <w:sz w:val="44"/>
          <w:szCs w:val="36"/>
        </w:rPr>
        <w:t>目   录</w:t>
      </w:r>
    </w:p>
    <w:p>
      <w:pPr>
        <w:spacing w:line="700" w:lineRule="exact"/>
        <w:outlineLvl w:val="0"/>
        <w:rPr>
          <w:rFonts w:ascii="宋体" w:hAnsi="宋体"/>
          <w:color w:val="auto"/>
          <w:sz w:val="72"/>
        </w:rPr>
      </w:pPr>
    </w:p>
    <w:p>
      <w:pPr>
        <w:pStyle w:val="15"/>
        <w:tabs>
          <w:tab w:val="right" w:leader="dot" w:pos="9071"/>
        </w:tabs>
      </w:pPr>
      <w:r>
        <w:rPr>
          <w:rFonts w:ascii="宋体" w:hAnsi="宋体"/>
          <w:color w:val="auto"/>
        </w:rPr>
        <w:fldChar w:fldCharType="begin"/>
      </w:r>
      <w:r>
        <w:rPr>
          <w:rStyle w:val="23"/>
          <w:color w:val="auto"/>
        </w:rPr>
        <w:instrText xml:space="preserve"> TOC \o "1-3" \h \z </w:instrText>
      </w:r>
      <w:r>
        <w:rPr>
          <w:rFonts w:ascii="宋体" w:hAnsi="宋体"/>
          <w:color w:val="auto"/>
        </w:rPr>
        <w:fldChar w:fldCharType="separate"/>
      </w:r>
      <w:r>
        <w:rPr>
          <w:rFonts w:ascii="宋体" w:hAnsi="宋体"/>
          <w:color w:val="auto"/>
        </w:rPr>
        <w:fldChar w:fldCharType="begin"/>
      </w:r>
      <w:r>
        <w:rPr>
          <w:rFonts w:ascii="宋体" w:hAnsi="宋体"/>
        </w:rPr>
        <w:instrText xml:space="preserve"> HYPERLINK \l _Toc970 </w:instrText>
      </w:r>
      <w:r>
        <w:rPr>
          <w:rFonts w:ascii="宋体" w:hAnsi="宋体"/>
        </w:rPr>
        <w:fldChar w:fldCharType="separate"/>
      </w:r>
      <w:r>
        <w:rPr>
          <w:rFonts w:hint="eastAsia" w:ascii="宋体" w:hAnsi="宋体" w:eastAsia="宋体"/>
        </w:rPr>
        <w:t>第一部分  竞争性比选邀请书</w:t>
      </w:r>
      <w:r>
        <w:tab/>
      </w:r>
      <w:r>
        <w:fldChar w:fldCharType="begin"/>
      </w:r>
      <w:r>
        <w:instrText xml:space="preserve"> PAGEREF _Toc970 \h </w:instrText>
      </w:r>
      <w:r>
        <w:fldChar w:fldCharType="separate"/>
      </w:r>
      <w:r>
        <w:t>- 1 -</w:t>
      </w:r>
      <w:r>
        <w:fldChar w:fldCharType="end"/>
      </w:r>
      <w:r>
        <w:rPr>
          <w:rFonts w:ascii="宋体" w:hAnsi="宋体"/>
          <w:color w:val="auto"/>
        </w:rPr>
        <w:fldChar w:fldCharType="end"/>
      </w:r>
    </w:p>
    <w:p>
      <w:pPr>
        <w:pStyle w:val="15"/>
        <w:tabs>
          <w:tab w:val="right" w:leader="dot" w:pos="9071"/>
        </w:tabs>
      </w:pPr>
      <w:r>
        <w:rPr>
          <w:rFonts w:ascii="宋体" w:hAnsi="宋体"/>
          <w:color w:val="auto"/>
        </w:rPr>
        <w:fldChar w:fldCharType="begin"/>
      </w:r>
      <w:r>
        <w:rPr>
          <w:rFonts w:ascii="宋体" w:hAnsi="宋体"/>
        </w:rPr>
        <w:instrText xml:space="preserve"> HYPERLINK \l _Toc16925 </w:instrText>
      </w:r>
      <w:r>
        <w:rPr>
          <w:rFonts w:ascii="宋体" w:hAnsi="宋体"/>
        </w:rPr>
        <w:fldChar w:fldCharType="separate"/>
      </w:r>
      <w:r>
        <w:rPr>
          <w:rFonts w:hint="eastAsia" w:ascii="宋体" w:hAnsi="宋体" w:eastAsia="宋体"/>
        </w:rPr>
        <w:t xml:space="preserve">第二部分 </w:t>
      </w:r>
      <w:r>
        <w:rPr>
          <w:rFonts w:hint="eastAsia" w:ascii="宋体" w:hAnsi="宋体"/>
          <w:lang w:val="en-US" w:eastAsia="zh-CN"/>
        </w:rPr>
        <w:t xml:space="preserve"> </w:t>
      </w:r>
      <w:r>
        <w:rPr>
          <w:rFonts w:hint="eastAsia" w:ascii="宋体" w:hAnsi="宋体" w:eastAsia="宋体"/>
        </w:rPr>
        <w:t>竞争性比选须知</w:t>
      </w:r>
      <w:r>
        <w:tab/>
      </w:r>
      <w:r>
        <w:fldChar w:fldCharType="begin"/>
      </w:r>
      <w:r>
        <w:instrText xml:space="preserve"> PAGEREF _Toc16925 \h </w:instrText>
      </w:r>
      <w:r>
        <w:fldChar w:fldCharType="separate"/>
      </w:r>
      <w:r>
        <w:t>- 4 -</w:t>
      </w:r>
      <w:r>
        <w:fldChar w:fldCharType="end"/>
      </w:r>
      <w:r>
        <w:rPr>
          <w:rFonts w:ascii="宋体" w:hAnsi="宋体"/>
          <w:color w:val="auto"/>
        </w:rPr>
        <w:fldChar w:fldCharType="end"/>
      </w:r>
    </w:p>
    <w:p>
      <w:pPr>
        <w:pStyle w:val="15"/>
        <w:tabs>
          <w:tab w:val="right" w:leader="dot" w:pos="9071"/>
        </w:tabs>
      </w:pPr>
      <w:r>
        <w:rPr>
          <w:rFonts w:ascii="宋体" w:hAnsi="宋体"/>
          <w:color w:val="auto"/>
        </w:rPr>
        <w:fldChar w:fldCharType="begin"/>
      </w:r>
      <w:r>
        <w:rPr>
          <w:rFonts w:ascii="宋体" w:hAnsi="宋体"/>
        </w:rPr>
        <w:instrText xml:space="preserve"> HYPERLINK \l _Toc9150 </w:instrText>
      </w:r>
      <w:r>
        <w:rPr>
          <w:rFonts w:ascii="宋体" w:hAnsi="宋体"/>
        </w:rPr>
        <w:fldChar w:fldCharType="separate"/>
      </w:r>
      <w:r>
        <w:rPr>
          <w:rFonts w:hint="eastAsia" w:ascii="宋体" w:hAnsi="宋体" w:eastAsia="宋体"/>
        </w:rPr>
        <w:t>第</w:t>
      </w:r>
      <w:r>
        <w:rPr>
          <w:rFonts w:hint="eastAsia" w:ascii="宋体" w:hAnsi="宋体" w:eastAsia="宋体"/>
          <w:lang w:val="en-US" w:eastAsia="zh-CN"/>
        </w:rPr>
        <w:t>三</w:t>
      </w:r>
      <w:r>
        <w:rPr>
          <w:rFonts w:hint="eastAsia" w:ascii="宋体" w:hAnsi="宋体" w:eastAsia="宋体"/>
        </w:rPr>
        <w:t>部分  商务条款</w:t>
      </w:r>
      <w:r>
        <w:tab/>
      </w:r>
      <w:r>
        <w:fldChar w:fldCharType="begin"/>
      </w:r>
      <w:r>
        <w:instrText xml:space="preserve"> PAGEREF _Toc9150 \h </w:instrText>
      </w:r>
      <w:r>
        <w:fldChar w:fldCharType="separate"/>
      </w:r>
      <w:r>
        <w:t>- 10 -</w:t>
      </w:r>
      <w:r>
        <w:fldChar w:fldCharType="end"/>
      </w:r>
      <w:r>
        <w:rPr>
          <w:rFonts w:ascii="宋体" w:hAnsi="宋体"/>
          <w:color w:val="auto"/>
        </w:rPr>
        <w:fldChar w:fldCharType="end"/>
      </w:r>
    </w:p>
    <w:p>
      <w:pPr>
        <w:pStyle w:val="15"/>
        <w:tabs>
          <w:tab w:val="right" w:leader="dot" w:pos="9071"/>
        </w:tabs>
      </w:pPr>
      <w:r>
        <w:rPr>
          <w:rFonts w:ascii="宋体" w:hAnsi="宋体"/>
          <w:color w:val="auto"/>
        </w:rPr>
        <w:fldChar w:fldCharType="begin"/>
      </w:r>
      <w:r>
        <w:rPr>
          <w:rFonts w:ascii="宋体" w:hAnsi="宋体"/>
        </w:rPr>
        <w:instrText xml:space="preserve"> HYPERLINK \l _Toc17728 </w:instrText>
      </w:r>
      <w:r>
        <w:rPr>
          <w:rFonts w:ascii="宋体" w:hAnsi="宋体"/>
        </w:rPr>
        <w:fldChar w:fldCharType="separate"/>
      </w:r>
      <w:r>
        <w:rPr>
          <w:rFonts w:hint="eastAsia" w:ascii="宋体" w:hAnsi="宋体" w:eastAsia="宋体"/>
        </w:rPr>
        <w:t>第</w:t>
      </w:r>
      <w:r>
        <w:rPr>
          <w:rFonts w:hint="eastAsia" w:ascii="宋体" w:hAnsi="宋体" w:eastAsia="宋体"/>
          <w:lang w:val="en-US" w:eastAsia="zh-CN"/>
        </w:rPr>
        <w:t>四</w:t>
      </w:r>
      <w:r>
        <w:rPr>
          <w:rFonts w:hint="eastAsia" w:ascii="宋体" w:hAnsi="宋体" w:eastAsia="宋体"/>
        </w:rPr>
        <w:t>部分  竞标文件格式要求</w:t>
      </w:r>
      <w:r>
        <w:tab/>
      </w:r>
      <w:r>
        <w:fldChar w:fldCharType="begin"/>
      </w:r>
      <w:r>
        <w:instrText xml:space="preserve"> PAGEREF _Toc17728 \h </w:instrText>
      </w:r>
      <w:r>
        <w:fldChar w:fldCharType="separate"/>
      </w:r>
      <w:r>
        <w:t>- 11 -</w:t>
      </w:r>
      <w:r>
        <w:fldChar w:fldCharType="end"/>
      </w:r>
      <w:r>
        <w:rPr>
          <w:rFonts w:ascii="宋体" w:hAnsi="宋体"/>
          <w:color w:val="auto"/>
        </w:rPr>
        <w:fldChar w:fldCharType="end"/>
      </w:r>
    </w:p>
    <w:p>
      <w:pPr>
        <w:pStyle w:val="15"/>
        <w:tabs>
          <w:tab w:val="right" w:leader="dot" w:pos="8303"/>
        </w:tabs>
        <w:spacing w:line="360" w:lineRule="auto"/>
        <w:rPr>
          <w:rFonts w:ascii="宋体" w:hAnsi="宋体"/>
          <w:color w:val="auto"/>
        </w:rPr>
      </w:pPr>
      <w:r>
        <w:rPr>
          <w:rFonts w:ascii="宋体" w:hAnsi="宋体"/>
          <w:color w:val="auto"/>
        </w:rPr>
        <w:fldChar w:fldCharType="end"/>
      </w:r>
      <w:bookmarkStart w:id="0" w:name="_Toc12789052"/>
      <w:bookmarkStart w:id="1" w:name="_Toc11641050"/>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jc w:val="center"/>
        <w:rPr>
          <w:rFonts w:ascii="宋体" w:hAnsi="宋体" w:eastAsia="宋体"/>
          <w:color w:val="auto"/>
          <w:sz w:val="36"/>
        </w:rPr>
      </w:pPr>
      <w:bookmarkStart w:id="2" w:name="_Toc970"/>
      <w:r>
        <w:rPr>
          <w:rFonts w:hint="eastAsia" w:ascii="宋体" w:hAnsi="宋体" w:eastAsia="宋体"/>
          <w:color w:val="auto"/>
          <w:sz w:val="36"/>
        </w:rPr>
        <w:t>第一部分  竞争性比选邀请书</w:t>
      </w:r>
      <w:bookmarkEnd w:id="0"/>
      <w:bookmarkEnd w:id="1"/>
      <w:bookmarkEnd w:id="2"/>
    </w:p>
    <w:p>
      <w:pPr>
        <w:pStyle w:val="6"/>
        <w:spacing w:line="360" w:lineRule="auto"/>
        <w:ind w:firstLine="551" w:firstLineChars="197"/>
        <w:rPr>
          <w:rFonts w:ascii="宋体" w:hAnsi="宋体"/>
          <w:color w:val="auto"/>
          <w:sz w:val="28"/>
          <w:szCs w:val="28"/>
        </w:rPr>
      </w:pPr>
      <w:r>
        <w:rPr>
          <w:rFonts w:hint="eastAsia" w:ascii="宋体" w:hAnsi="宋体"/>
          <w:color w:val="auto"/>
          <w:sz w:val="28"/>
          <w:szCs w:val="28"/>
        </w:rPr>
        <w:t xml:space="preserve">致： </w:t>
      </w:r>
    </w:p>
    <w:p>
      <w:pPr>
        <w:pStyle w:val="40"/>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宋体" w:hAnsi="宋体"/>
          <w:b w:val="0"/>
          <w:bCs w:val="0"/>
          <w:color w:val="auto"/>
          <w:sz w:val="28"/>
          <w:szCs w:val="28"/>
        </w:rPr>
      </w:pPr>
      <w:r>
        <w:rPr>
          <w:rFonts w:ascii="宋体" w:hAnsi="宋体"/>
          <w:b w:val="0"/>
          <w:bCs w:val="0"/>
          <w:color w:val="auto"/>
          <w:sz w:val="28"/>
          <w:szCs w:val="28"/>
        </w:rPr>
        <w:t>本项目</w:t>
      </w:r>
      <w:r>
        <w:rPr>
          <w:rFonts w:hint="eastAsia" w:ascii="宋体" w:hAnsi="宋体"/>
          <w:b w:val="0"/>
          <w:bCs w:val="0"/>
          <w:color w:val="auto"/>
          <w:sz w:val="28"/>
          <w:szCs w:val="28"/>
          <w:u w:val="single"/>
        </w:rPr>
        <w:t>重庆市中医骨科医院整体迁建</w:t>
      </w:r>
      <w:r>
        <w:rPr>
          <w:rFonts w:hint="eastAsia" w:ascii="宋体" w:hAnsi="宋体"/>
          <w:b w:val="0"/>
          <w:bCs w:val="0"/>
          <w:color w:val="auto"/>
          <w:sz w:val="28"/>
          <w:szCs w:val="28"/>
        </w:rPr>
        <w:t>项目</w:t>
      </w:r>
      <w:r>
        <w:rPr>
          <w:rFonts w:ascii="宋体" w:hAnsi="宋体"/>
          <w:b w:val="0"/>
          <w:bCs w:val="0"/>
          <w:color w:val="auto"/>
          <w:sz w:val="28"/>
          <w:szCs w:val="28"/>
        </w:rPr>
        <w:t>已由</w:t>
      </w:r>
      <w:r>
        <w:rPr>
          <w:rFonts w:hint="eastAsia" w:ascii="宋体" w:hAnsi="宋体"/>
          <w:b w:val="0"/>
          <w:bCs w:val="0"/>
          <w:color w:val="auto"/>
          <w:sz w:val="28"/>
          <w:szCs w:val="28"/>
        </w:rPr>
        <w:t>渝中区发展和改革委员会</w:t>
      </w:r>
      <w:r>
        <w:rPr>
          <w:rFonts w:ascii="宋体" w:hAnsi="宋体"/>
          <w:b w:val="0"/>
          <w:bCs w:val="0"/>
          <w:color w:val="auto"/>
          <w:sz w:val="28"/>
          <w:szCs w:val="28"/>
        </w:rPr>
        <w:t>以</w:t>
      </w:r>
      <w:r>
        <w:rPr>
          <w:rFonts w:hint="eastAsia" w:ascii="宋体" w:hAnsi="宋体"/>
          <w:b w:val="0"/>
          <w:bCs w:val="0"/>
          <w:color w:val="auto"/>
          <w:sz w:val="28"/>
          <w:szCs w:val="28"/>
          <w:u w:val="single"/>
        </w:rPr>
        <w:t>渝中发改【2016】48号</w:t>
      </w:r>
      <w:r>
        <w:rPr>
          <w:rFonts w:hint="eastAsia" w:ascii="宋体" w:hAnsi="宋体"/>
          <w:b w:val="0"/>
          <w:bCs w:val="0"/>
          <w:color w:val="auto"/>
          <w:sz w:val="28"/>
          <w:szCs w:val="28"/>
        </w:rPr>
        <w:t>文</w:t>
      </w:r>
      <w:r>
        <w:rPr>
          <w:rFonts w:ascii="宋体" w:hAnsi="宋体"/>
          <w:b w:val="0"/>
          <w:bCs w:val="0"/>
          <w:color w:val="auto"/>
          <w:sz w:val="28"/>
          <w:szCs w:val="28"/>
        </w:rPr>
        <w:t>批准建设</w:t>
      </w:r>
      <w:r>
        <w:rPr>
          <w:rFonts w:hint="eastAsia" w:ascii="宋体" w:hAnsi="宋体"/>
          <w:b w:val="0"/>
          <w:bCs w:val="0"/>
          <w:color w:val="auto"/>
          <w:sz w:val="28"/>
          <w:szCs w:val="28"/>
        </w:rPr>
        <w:t>，本次招标为</w:t>
      </w:r>
      <w:r>
        <w:rPr>
          <w:rFonts w:hint="eastAsia" w:ascii="宋体" w:hAnsi="宋体"/>
          <w:b w:val="0"/>
          <w:bCs w:val="0"/>
          <w:color w:val="auto"/>
          <w:sz w:val="28"/>
          <w:szCs w:val="28"/>
          <w:u w:val="single"/>
        </w:rPr>
        <w:t>重庆市中医骨科医院整体迁建项目</w:t>
      </w:r>
      <w:r>
        <w:rPr>
          <w:rFonts w:hint="eastAsia" w:ascii="宋体" w:hAnsi="宋体"/>
          <w:b w:val="0"/>
          <w:bCs w:val="0"/>
          <w:color w:val="auto"/>
          <w:sz w:val="28"/>
          <w:szCs w:val="28"/>
          <w:u w:val="single"/>
          <w:lang w:eastAsia="zh-CN"/>
        </w:rPr>
        <w:t>供配电工程监理</w:t>
      </w:r>
      <w:r>
        <w:rPr>
          <w:rFonts w:hint="eastAsia" w:ascii="宋体" w:hAnsi="宋体"/>
          <w:b w:val="0"/>
          <w:bCs w:val="0"/>
          <w:color w:val="auto"/>
          <w:sz w:val="28"/>
          <w:szCs w:val="28"/>
          <w:u w:val="single"/>
        </w:rPr>
        <w:t>单位，</w:t>
      </w:r>
      <w:r>
        <w:rPr>
          <w:rFonts w:hint="eastAsia" w:ascii="宋体" w:hAnsi="宋体"/>
          <w:b w:val="0"/>
          <w:bCs w:val="0"/>
          <w:color w:val="auto"/>
          <w:sz w:val="28"/>
          <w:szCs w:val="28"/>
        </w:rPr>
        <w:t>建设资金来自财政资金，资金已落实。本次比选的招标人为</w:t>
      </w:r>
      <w:r>
        <w:rPr>
          <w:rFonts w:hint="eastAsia" w:ascii="宋体" w:hAnsi="宋体"/>
          <w:b w:val="0"/>
          <w:bCs w:val="0"/>
          <w:color w:val="auto"/>
          <w:sz w:val="28"/>
          <w:szCs w:val="28"/>
          <w:u w:val="single"/>
        </w:rPr>
        <w:t xml:space="preserve"> 重庆市中医骨科医院（项目业主）</w:t>
      </w:r>
      <w:r>
        <w:rPr>
          <w:rFonts w:hint="eastAsia" w:ascii="宋体" w:hAnsi="宋体"/>
          <w:b w:val="0"/>
          <w:bCs w:val="0"/>
          <w:color w:val="auto"/>
          <w:sz w:val="28"/>
          <w:szCs w:val="28"/>
          <w:highlight w:val="none"/>
          <w:u w:val="single"/>
        </w:rPr>
        <w:t>、重庆市建设项目管理有限公司（代理业主）</w:t>
      </w:r>
      <w:r>
        <w:rPr>
          <w:rFonts w:hint="eastAsia" w:ascii="宋体" w:hAnsi="宋体"/>
          <w:b w:val="0"/>
          <w:bCs w:val="0"/>
          <w:color w:val="auto"/>
          <w:sz w:val="28"/>
          <w:szCs w:val="28"/>
        </w:rPr>
        <w:t>。项目已具备招标条件，现邀请你单位参加竞标。</w:t>
      </w:r>
    </w:p>
    <w:p>
      <w:pPr>
        <w:pStyle w:val="6"/>
        <w:spacing w:line="360" w:lineRule="auto"/>
        <w:ind w:firstLine="554" w:firstLineChars="197"/>
        <w:rPr>
          <w:rFonts w:ascii="宋体" w:hAnsi="宋体"/>
          <w:b/>
          <w:color w:val="auto"/>
          <w:sz w:val="28"/>
          <w:szCs w:val="28"/>
        </w:rPr>
      </w:pPr>
      <w:r>
        <w:rPr>
          <w:rFonts w:hint="eastAsia" w:ascii="宋体" w:hAnsi="宋体"/>
          <w:b/>
          <w:color w:val="auto"/>
          <w:sz w:val="28"/>
          <w:szCs w:val="28"/>
        </w:rPr>
        <w:t>一、竞争性比选内容</w:t>
      </w:r>
    </w:p>
    <w:p>
      <w:pPr>
        <w:pStyle w:val="6"/>
        <w:spacing w:line="360" w:lineRule="auto"/>
        <w:ind w:firstLine="551" w:firstLineChars="197"/>
        <w:rPr>
          <w:rFonts w:hint="eastAsia" w:ascii="宋体" w:hAnsi="宋体" w:cs="宋体"/>
          <w:b w:val="0"/>
          <w:bCs w:val="0"/>
          <w:color w:val="auto"/>
          <w:sz w:val="28"/>
          <w:szCs w:val="28"/>
          <w:lang w:eastAsia="zh-CN"/>
        </w:rPr>
      </w:pPr>
      <w:r>
        <w:rPr>
          <w:rFonts w:hint="eastAsia" w:ascii="宋体" w:hAnsi="宋体" w:cs="宋体"/>
          <w:color w:val="auto"/>
          <w:sz w:val="28"/>
          <w:szCs w:val="28"/>
        </w:rPr>
        <w:t>对重庆市中医骨科</w:t>
      </w:r>
      <w:r>
        <w:rPr>
          <w:rFonts w:hint="eastAsia" w:ascii="宋体" w:hAnsi="宋体" w:cs="宋体"/>
          <w:color w:val="auto"/>
          <w:sz w:val="28"/>
          <w:szCs w:val="28"/>
          <w:lang w:val="en-US" w:eastAsia="zh-CN"/>
        </w:rPr>
        <w:t>医院</w:t>
      </w:r>
      <w:r>
        <w:rPr>
          <w:rFonts w:hint="eastAsia" w:ascii="宋体" w:hAnsi="宋体" w:cs="宋体"/>
          <w:color w:val="auto"/>
          <w:sz w:val="28"/>
          <w:szCs w:val="28"/>
        </w:rPr>
        <w:t>整体迁建项目</w:t>
      </w:r>
      <w:r>
        <w:rPr>
          <w:rFonts w:hint="eastAsia" w:ascii="宋体" w:hAnsi="宋体"/>
          <w:color w:val="auto"/>
          <w:sz w:val="28"/>
          <w:szCs w:val="28"/>
          <w:u w:val="none"/>
          <w:lang w:eastAsia="zh-CN"/>
        </w:rPr>
        <w:t>供配电工程进行质量，进度，投资三大控制和安全生产监督管理为主要工作内容的施工的全过程监理服务</w:t>
      </w:r>
      <w:r>
        <w:rPr>
          <w:rFonts w:hint="eastAsia" w:ascii="宋体" w:hAnsi="宋体" w:cs="宋体"/>
          <w:color w:val="auto"/>
          <w:sz w:val="28"/>
          <w:szCs w:val="28"/>
        </w:rPr>
        <w:t>，</w:t>
      </w:r>
      <w:r>
        <w:rPr>
          <w:rFonts w:hint="eastAsia" w:ascii="宋体" w:hAnsi="宋体" w:cs="宋体"/>
          <w:color w:val="auto"/>
          <w:sz w:val="28"/>
          <w:szCs w:val="28"/>
          <w:lang w:eastAsia="zh-CN"/>
        </w:rPr>
        <w:t>服务范围包括单不限于</w:t>
      </w:r>
      <w:r>
        <w:rPr>
          <w:rFonts w:hint="eastAsia" w:ascii="宋体" w:hAnsi="宋体" w:cs="宋体"/>
          <w:b w:val="0"/>
          <w:bCs w:val="0"/>
          <w:color w:val="auto"/>
          <w:sz w:val="28"/>
          <w:szCs w:val="28"/>
          <w:lang w:eastAsia="zh-CN"/>
        </w:rPr>
        <w:t>。</w:t>
      </w:r>
    </w:p>
    <w:p>
      <w:pPr>
        <w:pStyle w:val="6"/>
        <w:numPr>
          <w:ilvl w:val="0"/>
          <w:numId w:val="1"/>
        </w:numPr>
        <w:spacing w:line="360" w:lineRule="auto"/>
        <w:ind w:left="-8" w:leftChars="0" w:firstLine="551" w:firstLineChars="0"/>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服务项目：项目外线通道修建及电缆施放工程</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eastAsia="zh-CN"/>
        </w:rPr>
        <w:t>线路铁塔修建安装</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10KV开关站及</w:t>
      </w:r>
      <w:r>
        <w:rPr>
          <w:rFonts w:hint="eastAsia" w:ascii="宋体" w:hAnsi="宋体" w:cs="宋体"/>
          <w:b w:val="0"/>
          <w:bCs w:val="0"/>
          <w:color w:val="auto"/>
          <w:sz w:val="28"/>
          <w:szCs w:val="28"/>
          <w:lang w:eastAsia="zh-CN"/>
        </w:rPr>
        <w:t>配电房土建工程建设</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eastAsia="zh-CN"/>
        </w:rPr>
        <w:t>变压器及高低压开关柜验收相关工作内容。</w:t>
      </w:r>
    </w:p>
    <w:p>
      <w:pPr>
        <w:pStyle w:val="6"/>
        <w:numPr>
          <w:ilvl w:val="0"/>
          <w:numId w:val="1"/>
        </w:numPr>
        <w:spacing w:line="360" w:lineRule="auto"/>
        <w:ind w:left="-8" w:leftChars="0" w:firstLine="551" w:firstLineChars="0"/>
        <w:rPr>
          <w:rFonts w:ascii="宋体" w:hAnsi="宋体" w:cs="宋体"/>
          <w:color w:val="auto"/>
          <w:sz w:val="28"/>
          <w:szCs w:val="28"/>
        </w:rPr>
      </w:pPr>
      <w:r>
        <w:rPr>
          <w:rFonts w:hint="eastAsia" w:ascii="宋体" w:hAnsi="宋体" w:cs="宋体"/>
          <w:b w:val="0"/>
          <w:bCs w:val="0"/>
          <w:color w:val="auto"/>
          <w:sz w:val="28"/>
          <w:szCs w:val="28"/>
          <w:lang w:val="en-US" w:eastAsia="zh-CN"/>
        </w:rPr>
        <w:t>服务期限：从线路工程</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配电房土建主体施工开始至保修期结束。</w:t>
      </w:r>
    </w:p>
    <w:p>
      <w:pPr>
        <w:pStyle w:val="6"/>
        <w:numPr>
          <w:ilvl w:val="0"/>
          <w:numId w:val="1"/>
        </w:numPr>
        <w:spacing w:line="360" w:lineRule="auto"/>
        <w:ind w:left="-8" w:leftChars="0" w:firstLine="551" w:firstLineChars="0"/>
        <w:rPr>
          <w:rFonts w:ascii="宋体" w:hAnsi="宋体" w:cs="宋体"/>
          <w:color w:val="auto"/>
          <w:sz w:val="28"/>
          <w:szCs w:val="28"/>
        </w:rPr>
      </w:pPr>
      <w:r>
        <w:rPr>
          <w:rFonts w:hint="eastAsia" w:ascii="宋体" w:hAnsi="宋体" w:cs="宋体"/>
          <w:b w:val="0"/>
          <w:bCs w:val="0"/>
          <w:color w:val="auto"/>
          <w:sz w:val="28"/>
          <w:szCs w:val="28"/>
          <w:lang w:val="en-US" w:eastAsia="zh-CN"/>
        </w:rPr>
        <w:t>服务范围：施工</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安装</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调试</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竣工验收及启动投运</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资料归档整理</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工程移交</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质量保修</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工程监理总结等全方位</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全过程建设监理工作（包括工程质量控制</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安全控制</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进度控制</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工程建设合同管理</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信息管理等）以及协调工程建设各有关单位的工作关系内容。</w:t>
      </w:r>
    </w:p>
    <w:p>
      <w:pPr>
        <w:spacing w:line="360" w:lineRule="auto"/>
        <w:ind w:firstLine="551" w:firstLineChars="196"/>
        <w:rPr>
          <w:rFonts w:ascii="宋体" w:hAnsi="宋体" w:cs="宋体"/>
          <w:b/>
          <w:color w:val="auto"/>
          <w:sz w:val="28"/>
          <w:szCs w:val="28"/>
        </w:rPr>
      </w:pPr>
      <w:r>
        <w:rPr>
          <w:rFonts w:hint="eastAsia" w:ascii="宋体" w:hAnsi="宋体" w:cs="宋体"/>
          <w:b/>
          <w:color w:val="auto"/>
          <w:sz w:val="28"/>
          <w:szCs w:val="28"/>
        </w:rPr>
        <w:t>二、项目</w:t>
      </w:r>
      <w:r>
        <w:rPr>
          <w:rFonts w:hint="eastAsia" w:ascii="宋体" w:hAnsi="宋体" w:cs="宋体"/>
          <w:b/>
          <w:bCs/>
          <w:color w:val="auto"/>
          <w:sz w:val="28"/>
          <w:szCs w:val="28"/>
        </w:rPr>
        <w:t>情况及比选范围</w:t>
      </w:r>
    </w:p>
    <w:p>
      <w:pPr>
        <w:pStyle w:val="6"/>
        <w:spacing w:after="0" w:line="360" w:lineRule="auto"/>
        <w:ind w:firstLine="560" w:firstLineChars="200"/>
        <w:rPr>
          <w:rFonts w:ascii="宋体" w:hAnsi="宋体" w:cs="宋体"/>
          <w:color w:val="auto"/>
          <w:sz w:val="28"/>
          <w:szCs w:val="28"/>
        </w:rPr>
      </w:pPr>
      <w:r>
        <w:rPr>
          <w:rFonts w:hint="eastAsia" w:ascii="宋体" w:hAnsi="宋体" w:cs="宋体"/>
          <w:color w:val="auto"/>
          <w:sz w:val="28"/>
          <w:szCs w:val="28"/>
        </w:rPr>
        <w:t>1、建设地点：重庆市渝中区大杨石组团B24-3-2地块。</w:t>
      </w:r>
    </w:p>
    <w:p>
      <w:pPr>
        <w:pStyle w:val="6"/>
        <w:spacing w:after="0"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2、工程概况：项目用地面积14025m2。地块呈不规则多边形，沿半山路长157m，沿大化路长182m，建筑面积为81591.1 m2。拟建项目由住院部、医技部、行政办公楼和地下车库组成。本项目拟建建筑为A、B两栋和地下车库组成，A栋为一类高层建筑(地上共计19层)，B栋为多层民用建筑（地上共计3层）。设计使用年限为50年。结构类型为框架剪力墙结构。工程设计类别为公共建筑。</w:t>
      </w:r>
    </w:p>
    <w:p>
      <w:pPr>
        <w:pStyle w:val="6"/>
        <w:spacing w:after="0" w:line="360" w:lineRule="auto"/>
        <w:ind w:firstLine="560" w:firstLineChars="200"/>
        <w:rPr>
          <w:rFonts w:ascii="宋体" w:hAnsi="宋体" w:cs="宋体"/>
          <w:color w:val="auto"/>
          <w:sz w:val="28"/>
          <w:szCs w:val="28"/>
        </w:rPr>
      </w:pPr>
      <w:r>
        <w:rPr>
          <w:rFonts w:hint="eastAsia" w:ascii="宋体" w:hAnsi="宋体" w:cs="宋体"/>
          <w:color w:val="auto"/>
          <w:sz w:val="28"/>
          <w:szCs w:val="28"/>
          <w:lang w:eastAsia="zh-CN"/>
        </w:rPr>
        <w:t>协助建设单位编制该工程计划进度横道图，满足合同工期的要求，根据施工综合进度督促施工单位编制设备到货计划，以满足综合进度要求，审查承包单位材料供应计划，检查承包单位施工机械和器具的配备，审查施工技术措施，检查开工条件，审核开工报告，参加设备材料开箱检查，加强工程质量控制重点部位的检查，配电室土建，外线通道，电气设备安装施工-GBJ-147-90 《电气装置安装工程高压电器施工及验收规范》，项目随时抽查，监督项目实施过程中是否</w:t>
      </w:r>
      <w:r>
        <w:rPr>
          <w:rFonts w:hint="eastAsia" w:ascii="宋体" w:hAnsi="宋体" w:cs="宋体"/>
          <w:color w:val="auto"/>
          <w:sz w:val="28"/>
          <w:szCs w:val="28"/>
        </w:rPr>
        <w:t>符合</w:t>
      </w:r>
      <w:r>
        <w:rPr>
          <w:rFonts w:hint="eastAsia" w:ascii="宋体" w:hAnsi="宋体" w:cs="宋体"/>
          <w:color w:val="auto"/>
          <w:sz w:val="28"/>
          <w:szCs w:val="28"/>
          <w:lang w:val="en-US" w:eastAsia="zh-CN"/>
        </w:rPr>
        <w:t>相关规范</w:t>
      </w:r>
      <w:r>
        <w:rPr>
          <w:rFonts w:hint="eastAsia" w:ascii="宋体" w:hAnsi="宋体" w:cs="宋体"/>
          <w:color w:val="auto"/>
          <w:sz w:val="28"/>
          <w:szCs w:val="28"/>
        </w:rPr>
        <w:t>要求。</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、比选范围：本次</w:t>
      </w:r>
      <w:r>
        <w:rPr>
          <w:rFonts w:hint="eastAsia" w:ascii="宋体" w:hAnsi="宋体" w:cs="宋体"/>
          <w:color w:val="auto"/>
          <w:sz w:val="28"/>
          <w:szCs w:val="28"/>
          <w:lang w:val="en-US" w:eastAsia="zh-CN"/>
        </w:rPr>
        <w:t>监理</w:t>
      </w:r>
      <w:r>
        <w:rPr>
          <w:rFonts w:hint="eastAsia" w:ascii="宋体" w:hAnsi="宋体" w:cs="宋体"/>
          <w:color w:val="auto"/>
          <w:sz w:val="28"/>
          <w:szCs w:val="28"/>
        </w:rPr>
        <w:t>范围为：重庆市中医骨科医院整体迁建项目</w:t>
      </w:r>
      <w:r>
        <w:rPr>
          <w:rFonts w:hint="eastAsia" w:ascii="宋体" w:hAnsi="宋体" w:cs="宋体"/>
          <w:color w:val="auto"/>
          <w:sz w:val="28"/>
          <w:szCs w:val="28"/>
          <w:lang w:eastAsia="zh-CN"/>
        </w:rPr>
        <w:t>供配电工程监理</w:t>
      </w:r>
      <w:r>
        <w:rPr>
          <w:rFonts w:hint="eastAsia" w:ascii="宋体" w:hAnsi="宋体" w:cs="宋体"/>
          <w:color w:val="auto"/>
          <w:sz w:val="28"/>
          <w:szCs w:val="28"/>
          <w:lang w:val="en-US" w:eastAsia="zh-CN"/>
        </w:rPr>
        <w:t>服务</w:t>
      </w:r>
      <w:r>
        <w:rPr>
          <w:rFonts w:hint="eastAsia" w:ascii="宋体" w:hAnsi="宋体" w:cs="宋体"/>
          <w:color w:val="auto"/>
          <w:sz w:val="28"/>
          <w:szCs w:val="28"/>
        </w:rPr>
        <w:t>。</w:t>
      </w:r>
    </w:p>
    <w:p>
      <w:pPr>
        <w:spacing w:line="360" w:lineRule="auto"/>
        <w:ind w:firstLine="551" w:firstLineChars="196"/>
        <w:rPr>
          <w:rFonts w:ascii="宋体" w:hAnsi="宋体"/>
          <w:b/>
          <w:color w:val="auto"/>
          <w:sz w:val="28"/>
          <w:szCs w:val="28"/>
        </w:rPr>
      </w:pPr>
      <w:r>
        <w:rPr>
          <w:rFonts w:hint="eastAsia" w:ascii="宋体" w:hAnsi="宋体"/>
          <w:b/>
          <w:color w:val="auto"/>
          <w:sz w:val="28"/>
          <w:szCs w:val="28"/>
        </w:rPr>
        <w:t xml:space="preserve">三、比选人资格要求 </w:t>
      </w:r>
    </w:p>
    <w:p>
      <w:pPr>
        <w:pStyle w:val="6"/>
        <w:spacing w:after="0" w:line="360" w:lineRule="auto"/>
        <w:ind w:firstLine="560" w:firstLineChars="200"/>
        <w:rPr>
          <w:rFonts w:ascii="宋体" w:hAnsi="宋体"/>
          <w:color w:val="auto"/>
          <w:sz w:val="28"/>
          <w:szCs w:val="28"/>
        </w:rPr>
      </w:pPr>
      <w:bookmarkStart w:id="3" w:name="_Hlk19798486"/>
      <w:r>
        <w:rPr>
          <w:rFonts w:hint="eastAsia" w:ascii="宋体" w:hAnsi="宋体"/>
          <w:color w:val="auto"/>
          <w:sz w:val="28"/>
          <w:szCs w:val="28"/>
        </w:rPr>
        <w:t>1、具有独立承担民事责任能力、独立法人资格的企业。</w:t>
      </w:r>
    </w:p>
    <w:p>
      <w:pPr>
        <w:adjustRightInd w:val="0"/>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2、资质及人员要求：</w:t>
      </w:r>
    </w:p>
    <w:p>
      <w:pPr>
        <w:keepNext w:val="0"/>
        <w:keepLines w:val="0"/>
        <w:pageBreakBefore w:val="0"/>
        <w:numPr>
          <w:ilvl w:val="0"/>
          <w:numId w:val="2"/>
        </w:numPr>
        <w:tabs>
          <w:tab w:val="left" w:pos="6150"/>
        </w:tabs>
        <w:kinsoku/>
        <w:wordWrap/>
        <w:overflowPunct/>
        <w:topLinePunct w:val="0"/>
        <w:autoSpaceDE/>
        <w:bidi w:val="0"/>
        <w:adjustRightInd/>
        <w:spacing w:line="360" w:lineRule="auto"/>
        <w:ind w:left="0" w:leftChars="0" w:firstLine="42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投标人必须是具有独立承担民事责任能力、具备履行合同相应能力的法人或其他组织</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其营业范围与本次招标项目相适应。</w:t>
      </w:r>
    </w:p>
    <w:p>
      <w:pPr>
        <w:keepNext w:val="0"/>
        <w:keepLines w:val="0"/>
        <w:pageBreakBefore w:val="0"/>
        <w:numPr>
          <w:ilvl w:val="0"/>
          <w:numId w:val="2"/>
        </w:numPr>
        <w:tabs>
          <w:tab w:val="left" w:pos="6150"/>
        </w:tabs>
        <w:kinsoku/>
        <w:wordWrap/>
        <w:overflowPunct/>
        <w:topLinePunct w:val="0"/>
        <w:autoSpaceDE/>
        <w:bidi w:val="0"/>
        <w:adjustRightInd/>
        <w:spacing w:line="360" w:lineRule="auto"/>
        <w:ind w:left="0" w:leftChars="0" w:firstLine="42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提供法定代表人授权</w:t>
      </w:r>
      <w:r>
        <w:rPr>
          <w:rFonts w:hint="eastAsia" w:asciiTheme="minorEastAsia" w:hAnsiTheme="minorEastAsia" w:eastAsiaTheme="minorEastAsia" w:cstheme="minorEastAsia"/>
          <w:color w:val="auto"/>
          <w:sz w:val="28"/>
          <w:szCs w:val="28"/>
          <w:shd w:val="clear" w:color="auto" w:fill="FFFFFF"/>
        </w:rPr>
        <w:t>。</w:t>
      </w:r>
    </w:p>
    <w:p>
      <w:pPr>
        <w:keepNext w:val="0"/>
        <w:keepLines w:val="0"/>
        <w:pageBreakBefore w:val="0"/>
        <w:numPr>
          <w:ilvl w:val="0"/>
          <w:numId w:val="2"/>
        </w:numPr>
        <w:tabs>
          <w:tab w:val="left" w:pos="6150"/>
        </w:tabs>
        <w:kinsoku/>
        <w:wordWrap/>
        <w:overflowPunct/>
        <w:topLinePunct w:val="0"/>
        <w:autoSpaceDE/>
        <w:bidi w:val="0"/>
        <w:adjustRightInd/>
        <w:spacing w:line="360" w:lineRule="auto"/>
        <w:ind w:left="0" w:leftChars="0" w:firstLine="42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具有良好的商业信誉，前三年内，在参加政府采购活动及经营活动中没有重大违法记录。</w:t>
      </w:r>
    </w:p>
    <w:p>
      <w:pPr>
        <w:keepNext w:val="0"/>
        <w:keepLines w:val="0"/>
        <w:pageBreakBefore w:val="0"/>
        <w:numPr>
          <w:ilvl w:val="0"/>
          <w:numId w:val="2"/>
        </w:numPr>
        <w:tabs>
          <w:tab w:val="left" w:pos="6150"/>
        </w:tabs>
        <w:kinsoku/>
        <w:wordWrap/>
        <w:overflowPunct/>
        <w:topLinePunct w:val="0"/>
        <w:autoSpaceDE/>
        <w:bidi w:val="0"/>
        <w:adjustRightInd/>
        <w:spacing w:line="360" w:lineRule="auto"/>
        <w:ind w:left="0" w:leftChars="0" w:firstLine="42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具有独立法人资格的单位或公司</w:t>
      </w:r>
      <w:r>
        <w:rPr>
          <w:rFonts w:hint="eastAsia" w:asciiTheme="minorEastAsia" w:hAnsiTheme="minorEastAsia" w:eastAsiaTheme="minorEastAsia" w:cstheme="minorEastAsia"/>
          <w:color w:val="auto"/>
          <w:sz w:val="28"/>
          <w:szCs w:val="28"/>
          <w:lang w:eastAsia="zh-CN"/>
        </w:rPr>
        <w:t>，</w:t>
      </w:r>
      <w:r>
        <w:rPr>
          <w:rFonts w:hint="eastAsia" w:ascii="宋体" w:hAnsi="宋体" w:cs="宋体"/>
          <w:color w:val="auto"/>
          <w:sz w:val="28"/>
          <w:szCs w:val="28"/>
          <w:highlight w:val="none"/>
        </w:rPr>
        <w:t>具</w:t>
      </w:r>
      <w:r>
        <w:rPr>
          <w:rFonts w:hint="eastAsia" w:ascii="宋体" w:hAnsi="宋体" w:cs="宋体"/>
          <w:color w:val="auto"/>
          <w:sz w:val="28"/>
          <w:szCs w:val="28"/>
          <w:highlight w:val="none"/>
          <w:lang w:eastAsia="zh-CN"/>
        </w:rPr>
        <w:t>有</w:t>
      </w:r>
      <w:r>
        <w:rPr>
          <w:rFonts w:hint="eastAsia" w:ascii="宋体" w:hAnsi="宋体" w:cs="宋体"/>
          <w:color w:val="auto"/>
          <w:sz w:val="28"/>
          <w:szCs w:val="28"/>
          <w:highlight w:val="none"/>
        </w:rPr>
        <w:t>国家建设行政主管部门颁发的电力工程监理乙级</w:t>
      </w:r>
      <w:r>
        <w:rPr>
          <w:rFonts w:hint="eastAsia" w:asciiTheme="minorEastAsia" w:hAnsiTheme="minorEastAsia" w:eastAsiaTheme="minorEastAsia" w:cstheme="minorEastAsia"/>
          <w:bCs/>
          <w:color w:val="auto"/>
          <w:sz w:val="28"/>
          <w:szCs w:val="28"/>
        </w:rPr>
        <w:t>及以上的资质</w:t>
      </w:r>
      <w:r>
        <w:rPr>
          <w:rFonts w:hint="eastAsia" w:asciiTheme="minorEastAsia" w:hAnsiTheme="minorEastAsia" w:eastAsiaTheme="minorEastAsia" w:cstheme="minorEastAsia"/>
          <w:color w:val="auto"/>
          <w:sz w:val="28"/>
          <w:szCs w:val="28"/>
          <w:lang w:val="en-US" w:eastAsia="zh-CN"/>
        </w:rPr>
        <w:t>（提供证书复印件加盖投标人鲜章）。</w:t>
      </w:r>
    </w:p>
    <w:p>
      <w:pPr>
        <w:keepNext w:val="0"/>
        <w:keepLines w:val="0"/>
        <w:pageBreakBefore w:val="0"/>
        <w:numPr>
          <w:ilvl w:val="0"/>
          <w:numId w:val="2"/>
        </w:numPr>
        <w:tabs>
          <w:tab w:val="left" w:pos="6150"/>
        </w:tabs>
        <w:kinsoku/>
        <w:wordWrap/>
        <w:overflowPunct/>
        <w:topLinePunct w:val="0"/>
        <w:autoSpaceDE/>
        <w:bidi w:val="0"/>
        <w:adjustRightInd/>
        <w:spacing w:line="360" w:lineRule="auto"/>
        <w:ind w:left="0" w:leftChars="0" w:firstLine="42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本项目不接受联合体投标。</w:t>
      </w:r>
    </w:p>
    <w:p>
      <w:pPr>
        <w:spacing w:line="360" w:lineRule="auto"/>
        <w:ind w:firstLine="548" w:firstLineChars="196"/>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注：以上证明材料需在有效期内并提供复印件加盖投标人鲜章。</w:t>
      </w:r>
    </w:p>
    <w:p>
      <w:pPr>
        <w:spacing w:line="360" w:lineRule="auto"/>
        <w:ind w:firstLine="551" w:firstLineChars="196"/>
        <w:rPr>
          <w:rFonts w:ascii="宋体" w:hAnsi="宋体" w:cs="仿宋_GB2312"/>
          <w:b/>
          <w:color w:val="auto"/>
          <w:sz w:val="28"/>
          <w:szCs w:val="28"/>
        </w:rPr>
      </w:pPr>
      <w:r>
        <w:rPr>
          <w:rFonts w:hint="eastAsia" w:ascii="宋体" w:hAnsi="宋体" w:cs="仿宋_GB2312"/>
          <w:b/>
          <w:color w:val="auto"/>
          <w:sz w:val="28"/>
          <w:szCs w:val="28"/>
        </w:rPr>
        <w:t>四、比选文件的获取</w:t>
      </w:r>
    </w:p>
    <w:p>
      <w:pPr>
        <w:snapToGrid w:val="0"/>
        <w:spacing w:line="360" w:lineRule="auto"/>
        <w:ind w:firstLine="560" w:firstLineChars="20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凡有意参加比选者，请于</w:t>
      </w:r>
      <w:r>
        <w:rPr>
          <w:rFonts w:hint="eastAsia" w:ascii="宋体" w:hAnsi="宋体"/>
          <w:color w:val="auto"/>
          <w:sz w:val="28"/>
          <w:szCs w:val="28"/>
          <w:highlight w:val="none"/>
          <w:u w:val="single"/>
          <w:shd w:val="clear" w:color="auto" w:fill="auto"/>
        </w:rPr>
        <w:t>20</w:t>
      </w:r>
      <w:r>
        <w:rPr>
          <w:rFonts w:ascii="宋体" w:hAnsi="宋体"/>
          <w:color w:val="auto"/>
          <w:sz w:val="28"/>
          <w:szCs w:val="28"/>
          <w:highlight w:val="none"/>
          <w:u w:val="single"/>
          <w:shd w:val="clear" w:color="auto" w:fill="auto"/>
        </w:rPr>
        <w:t>2</w:t>
      </w:r>
      <w:r>
        <w:rPr>
          <w:rFonts w:hint="eastAsia" w:ascii="宋体" w:hAnsi="宋体"/>
          <w:color w:val="auto"/>
          <w:sz w:val="28"/>
          <w:szCs w:val="28"/>
          <w:highlight w:val="none"/>
          <w:u w:val="single"/>
          <w:shd w:val="clear" w:color="auto" w:fill="auto"/>
          <w:lang w:val="en-US" w:eastAsia="zh-CN"/>
        </w:rPr>
        <w:t>2</w:t>
      </w:r>
      <w:r>
        <w:rPr>
          <w:rFonts w:hint="eastAsia" w:ascii="宋体" w:hAnsi="宋体"/>
          <w:color w:val="auto"/>
          <w:sz w:val="28"/>
          <w:szCs w:val="28"/>
          <w:highlight w:val="none"/>
          <w:shd w:val="clear" w:color="auto" w:fill="auto"/>
        </w:rPr>
        <w:t>年</w:t>
      </w:r>
      <w:r>
        <w:rPr>
          <w:rFonts w:hint="eastAsia" w:ascii="宋体" w:hAnsi="宋体"/>
          <w:color w:val="auto"/>
          <w:sz w:val="28"/>
          <w:szCs w:val="28"/>
          <w:highlight w:val="none"/>
          <w:u w:val="single"/>
          <w:shd w:val="clear" w:color="auto" w:fill="auto"/>
          <w:lang w:val="en-US" w:eastAsia="zh-CN"/>
        </w:rPr>
        <w:t>06</w:t>
      </w:r>
      <w:r>
        <w:rPr>
          <w:rFonts w:hint="eastAsia" w:ascii="宋体" w:hAnsi="宋体"/>
          <w:color w:val="auto"/>
          <w:sz w:val="28"/>
          <w:szCs w:val="28"/>
          <w:highlight w:val="none"/>
          <w:shd w:val="clear" w:color="auto" w:fill="auto"/>
        </w:rPr>
        <w:t>月</w:t>
      </w:r>
      <w:r>
        <w:rPr>
          <w:rFonts w:hint="eastAsia" w:ascii="宋体" w:hAnsi="宋体"/>
          <w:color w:val="auto"/>
          <w:sz w:val="28"/>
          <w:szCs w:val="28"/>
          <w:highlight w:val="none"/>
          <w:u w:val="single"/>
          <w:shd w:val="clear" w:color="auto" w:fill="auto"/>
          <w:lang w:val="en-US" w:eastAsia="zh-CN"/>
        </w:rPr>
        <w:t>23</w:t>
      </w:r>
      <w:r>
        <w:rPr>
          <w:rFonts w:hint="eastAsia" w:ascii="宋体" w:hAnsi="宋体"/>
          <w:color w:val="auto"/>
          <w:sz w:val="28"/>
          <w:szCs w:val="28"/>
          <w:highlight w:val="none"/>
          <w:shd w:val="clear" w:color="auto" w:fill="auto"/>
        </w:rPr>
        <w:t>日起，在重庆市中医骨科医院官网（</w:t>
      </w:r>
      <w:r>
        <w:rPr>
          <w:rFonts w:ascii="宋体" w:hAnsi="宋体"/>
          <w:color w:val="auto"/>
          <w:sz w:val="28"/>
          <w:szCs w:val="28"/>
          <w:highlight w:val="none"/>
          <w:shd w:val="clear" w:color="auto" w:fill="auto"/>
        </w:rPr>
        <w:t>http://www.cqgkyy.cn/</w:t>
      </w:r>
      <w:r>
        <w:rPr>
          <w:rFonts w:hint="eastAsia" w:ascii="宋体" w:hAnsi="宋体"/>
          <w:color w:val="auto"/>
          <w:sz w:val="28"/>
          <w:szCs w:val="28"/>
          <w:highlight w:val="none"/>
          <w:shd w:val="clear" w:color="auto" w:fill="auto"/>
        </w:rPr>
        <w:t>）直接下载本项目的比选文件、图纸等比选相关资料，不管比选申请人下载与否，比选人都视为比选申请人收到以上资料并全部知晓有关比选过程和事宜，由此产生的一切后果由比选申请人自负。</w:t>
      </w:r>
    </w:p>
    <w:bookmarkEnd w:id="3"/>
    <w:p>
      <w:pPr>
        <w:spacing w:line="360" w:lineRule="auto"/>
        <w:ind w:firstLine="551" w:firstLineChars="196"/>
        <w:rPr>
          <w:rFonts w:ascii="宋体" w:hAnsi="宋体" w:cs="仿宋_GB2312"/>
          <w:b/>
          <w:color w:val="auto"/>
          <w:sz w:val="28"/>
          <w:szCs w:val="28"/>
          <w:highlight w:val="none"/>
        </w:rPr>
      </w:pPr>
      <w:r>
        <w:rPr>
          <w:rFonts w:hint="eastAsia" w:ascii="宋体" w:hAnsi="宋体"/>
          <w:b/>
          <w:color w:val="auto"/>
          <w:sz w:val="28"/>
          <w:szCs w:val="28"/>
          <w:highlight w:val="none"/>
        </w:rPr>
        <w:t>五、竞争</w:t>
      </w:r>
      <w:r>
        <w:rPr>
          <w:rFonts w:hint="eastAsia" w:ascii="宋体" w:hAnsi="宋体" w:cs="仿宋_GB2312"/>
          <w:b/>
          <w:color w:val="auto"/>
          <w:sz w:val="28"/>
          <w:szCs w:val="28"/>
          <w:highlight w:val="none"/>
        </w:rPr>
        <w:t>性比选</w:t>
      </w:r>
      <w:r>
        <w:rPr>
          <w:rFonts w:hint="eastAsia" w:ascii="宋体" w:hAnsi="宋体"/>
          <w:b/>
          <w:color w:val="auto"/>
          <w:sz w:val="28"/>
          <w:szCs w:val="28"/>
          <w:highlight w:val="none"/>
        </w:rPr>
        <w:t>时间</w:t>
      </w:r>
      <w:r>
        <w:rPr>
          <w:rFonts w:hint="eastAsia" w:ascii="宋体" w:hAnsi="宋体" w:cs="仿宋_GB2312"/>
          <w:b/>
          <w:color w:val="auto"/>
          <w:sz w:val="28"/>
          <w:szCs w:val="28"/>
          <w:highlight w:val="none"/>
        </w:rPr>
        <w:t>、地点</w:t>
      </w:r>
    </w:p>
    <w:p>
      <w:pPr>
        <w:pStyle w:val="6"/>
        <w:spacing w:after="0" w:line="360" w:lineRule="auto"/>
        <w:ind w:firstLine="560" w:firstLineChars="200"/>
        <w:rPr>
          <w:rFonts w:ascii="宋体" w:hAnsi="宋体"/>
          <w:color w:val="auto"/>
          <w:sz w:val="28"/>
          <w:szCs w:val="28"/>
        </w:rPr>
      </w:pPr>
      <w:r>
        <w:rPr>
          <w:rFonts w:ascii="宋体" w:hAnsi="宋体"/>
          <w:color w:val="auto"/>
          <w:sz w:val="28"/>
          <w:szCs w:val="28"/>
        </w:rPr>
        <w:t>1</w:t>
      </w:r>
      <w:r>
        <w:rPr>
          <w:rFonts w:hint="eastAsia" w:ascii="宋体" w:hAnsi="宋体"/>
          <w:color w:val="auto"/>
          <w:sz w:val="28"/>
          <w:szCs w:val="28"/>
        </w:rPr>
        <w:t>、递交比选文件截止时间：202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06</w:t>
      </w:r>
      <w:r>
        <w:rPr>
          <w:rFonts w:hint="eastAsia" w:ascii="宋体" w:hAnsi="宋体"/>
          <w:color w:val="auto"/>
          <w:sz w:val="28"/>
          <w:szCs w:val="28"/>
        </w:rPr>
        <w:t>月</w:t>
      </w:r>
      <w:r>
        <w:rPr>
          <w:rFonts w:hint="eastAsia" w:ascii="宋体" w:hAnsi="宋体"/>
          <w:color w:val="auto"/>
          <w:sz w:val="28"/>
          <w:szCs w:val="28"/>
          <w:lang w:val="en-US" w:eastAsia="zh-CN"/>
        </w:rPr>
        <w:t>28</w:t>
      </w:r>
      <w:r>
        <w:rPr>
          <w:rFonts w:hint="eastAsia" w:ascii="宋体" w:hAnsi="宋体"/>
          <w:color w:val="auto"/>
          <w:sz w:val="28"/>
          <w:szCs w:val="28"/>
        </w:rPr>
        <w:t>日北京时间</w:t>
      </w:r>
      <w:r>
        <w:rPr>
          <w:rFonts w:hint="eastAsia" w:ascii="宋体" w:hAnsi="宋体"/>
          <w:color w:val="auto"/>
          <w:sz w:val="28"/>
          <w:szCs w:val="28"/>
          <w:lang w:val="en-US" w:eastAsia="zh-CN"/>
        </w:rPr>
        <w:t>15</w:t>
      </w:r>
      <w:r>
        <w:rPr>
          <w:rFonts w:hint="eastAsia" w:ascii="宋体" w:hAnsi="宋体"/>
          <w:color w:val="auto"/>
          <w:sz w:val="28"/>
          <w:szCs w:val="28"/>
        </w:rPr>
        <w:t>:30时。超过递交截止时间递交的竞标文件我单位恕不接受。</w:t>
      </w:r>
    </w:p>
    <w:p>
      <w:pPr>
        <w:pStyle w:val="6"/>
        <w:spacing w:after="0" w:line="360" w:lineRule="auto"/>
        <w:ind w:firstLine="560" w:firstLineChars="200"/>
        <w:rPr>
          <w:rFonts w:ascii="宋体" w:hAnsi="宋体"/>
          <w:color w:val="auto"/>
          <w:sz w:val="28"/>
          <w:szCs w:val="28"/>
        </w:rPr>
      </w:pPr>
      <w:r>
        <w:rPr>
          <w:rFonts w:ascii="宋体" w:hAnsi="宋体"/>
          <w:color w:val="auto"/>
          <w:sz w:val="28"/>
          <w:szCs w:val="28"/>
        </w:rPr>
        <w:t>2</w:t>
      </w:r>
      <w:r>
        <w:rPr>
          <w:rFonts w:hint="eastAsia" w:ascii="宋体" w:hAnsi="宋体"/>
          <w:color w:val="auto"/>
          <w:sz w:val="28"/>
          <w:szCs w:val="28"/>
        </w:rPr>
        <w:t>、竞争性比选开始时间：202</w:t>
      </w:r>
      <w:r>
        <w:rPr>
          <w:rFonts w:hint="eastAsia" w:ascii="宋体" w:hAnsi="宋体"/>
          <w:color w:val="auto"/>
          <w:sz w:val="28"/>
          <w:szCs w:val="28"/>
          <w:lang w:val="en-US" w:eastAsia="zh-CN"/>
        </w:rPr>
        <w:t>2</w:t>
      </w:r>
      <w:r>
        <w:rPr>
          <w:rFonts w:hint="eastAsia" w:ascii="宋体" w:hAnsi="宋体"/>
          <w:color w:val="auto"/>
          <w:sz w:val="28"/>
          <w:szCs w:val="28"/>
        </w:rPr>
        <w:t>年</w:t>
      </w:r>
      <w:r>
        <w:rPr>
          <w:rFonts w:hint="eastAsia" w:ascii="宋体" w:hAnsi="宋体"/>
          <w:color w:val="auto"/>
          <w:sz w:val="28"/>
          <w:szCs w:val="28"/>
          <w:lang w:val="en-US" w:eastAsia="zh-CN"/>
        </w:rPr>
        <w:t>06</w:t>
      </w:r>
      <w:r>
        <w:rPr>
          <w:rFonts w:hint="eastAsia" w:ascii="宋体" w:hAnsi="宋体"/>
          <w:color w:val="auto"/>
          <w:sz w:val="28"/>
          <w:szCs w:val="28"/>
        </w:rPr>
        <w:t>月</w:t>
      </w:r>
      <w:r>
        <w:rPr>
          <w:rFonts w:hint="eastAsia" w:ascii="宋体" w:hAnsi="宋体"/>
          <w:color w:val="auto"/>
          <w:sz w:val="28"/>
          <w:szCs w:val="28"/>
          <w:lang w:val="en-US" w:eastAsia="zh-CN"/>
        </w:rPr>
        <w:t>28</w:t>
      </w:r>
      <w:r>
        <w:rPr>
          <w:rFonts w:hint="eastAsia" w:ascii="宋体" w:hAnsi="宋体"/>
          <w:color w:val="auto"/>
          <w:sz w:val="28"/>
          <w:szCs w:val="28"/>
        </w:rPr>
        <w:t>日北京时间</w:t>
      </w:r>
      <w:r>
        <w:rPr>
          <w:rFonts w:hint="eastAsia" w:ascii="宋体" w:hAnsi="宋体"/>
          <w:color w:val="auto"/>
          <w:sz w:val="28"/>
          <w:szCs w:val="28"/>
          <w:lang w:val="en-US" w:eastAsia="zh-CN"/>
        </w:rPr>
        <w:t>15</w:t>
      </w:r>
      <w:r>
        <w:rPr>
          <w:rFonts w:hint="eastAsia" w:ascii="宋体" w:hAnsi="宋体"/>
          <w:color w:val="auto"/>
          <w:sz w:val="28"/>
          <w:szCs w:val="28"/>
        </w:rPr>
        <w:t>:30时。</w:t>
      </w:r>
    </w:p>
    <w:p>
      <w:pPr>
        <w:pStyle w:val="6"/>
        <w:spacing w:after="0" w:line="360" w:lineRule="auto"/>
        <w:ind w:firstLine="560" w:firstLineChars="200"/>
        <w:rPr>
          <w:rFonts w:ascii="宋体" w:hAnsi="宋体"/>
          <w:color w:val="auto"/>
          <w:sz w:val="28"/>
          <w:szCs w:val="28"/>
        </w:rPr>
      </w:pPr>
      <w:r>
        <w:rPr>
          <w:rFonts w:ascii="宋体" w:hAnsi="宋体"/>
          <w:color w:val="auto"/>
          <w:sz w:val="28"/>
          <w:szCs w:val="28"/>
        </w:rPr>
        <w:t>3</w:t>
      </w:r>
      <w:r>
        <w:rPr>
          <w:rFonts w:hint="eastAsia" w:ascii="宋体" w:hAnsi="宋体"/>
          <w:color w:val="auto"/>
          <w:sz w:val="28"/>
          <w:szCs w:val="28"/>
        </w:rPr>
        <w:t>、竞争性比选文件递交及比选地点：重庆市渝中区解放西路9号重庆市中医骨科医院行政办公区4楼（桐君阁侧）。</w:t>
      </w:r>
    </w:p>
    <w:p>
      <w:pPr>
        <w:spacing w:line="360" w:lineRule="auto"/>
        <w:ind w:firstLine="551" w:firstLineChars="196"/>
        <w:rPr>
          <w:rFonts w:ascii="宋体" w:hAnsi="宋体" w:cs="仿宋_GB2312"/>
          <w:b/>
          <w:color w:val="auto"/>
          <w:sz w:val="28"/>
          <w:szCs w:val="28"/>
          <w:highlight w:val="none"/>
        </w:rPr>
      </w:pPr>
      <w:r>
        <w:rPr>
          <w:rFonts w:hint="eastAsia" w:ascii="宋体" w:hAnsi="宋体" w:cs="仿宋_GB2312"/>
          <w:b/>
          <w:color w:val="auto"/>
          <w:sz w:val="28"/>
          <w:szCs w:val="28"/>
          <w:highlight w:val="none"/>
        </w:rPr>
        <w:t>六、联系方式</w:t>
      </w:r>
    </w:p>
    <w:p>
      <w:pPr>
        <w:pStyle w:val="6"/>
        <w:spacing w:after="0" w:line="360" w:lineRule="auto"/>
        <w:ind w:firstLine="560" w:firstLineChars="200"/>
        <w:rPr>
          <w:rFonts w:ascii="宋体" w:hAnsi="宋体"/>
          <w:color w:val="auto"/>
          <w:sz w:val="28"/>
          <w:szCs w:val="28"/>
        </w:rPr>
      </w:pPr>
      <w:r>
        <w:rPr>
          <w:rFonts w:hint="eastAsia" w:ascii="宋体" w:hAnsi="宋体"/>
          <w:color w:val="auto"/>
          <w:sz w:val="28"/>
          <w:szCs w:val="28"/>
        </w:rPr>
        <w:t>比选人：重庆市中医骨科医院     重庆市建设项目管理有限公司</w:t>
      </w:r>
    </w:p>
    <w:p>
      <w:pPr>
        <w:pStyle w:val="6"/>
        <w:spacing w:after="0" w:line="360" w:lineRule="auto"/>
        <w:ind w:firstLine="560" w:firstLineChars="200"/>
        <w:rPr>
          <w:rFonts w:ascii="宋体" w:hAnsi="宋体"/>
          <w:color w:val="auto"/>
          <w:sz w:val="28"/>
          <w:szCs w:val="28"/>
        </w:rPr>
      </w:pPr>
      <w:r>
        <w:rPr>
          <w:rFonts w:hint="eastAsia" w:ascii="宋体" w:hAnsi="宋体"/>
          <w:color w:val="auto"/>
          <w:sz w:val="28"/>
          <w:szCs w:val="28"/>
        </w:rPr>
        <w:t xml:space="preserve">联系人： </w:t>
      </w:r>
      <w:r>
        <w:rPr>
          <w:rFonts w:hint="eastAsia" w:ascii="宋体" w:hAnsi="宋体"/>
          <w:color w:val="auto"/>
          <w:sz w:val="28"/>
          <w:szCs w:val="28"/>
          <w:lang w:val="en-US" w:eastAsia="zh-CN"/>
        </w:rPr>
        <w:t>王</w:t>
      </w:r>
      <w:r>
        <w:rPr>
          <w:rFonts w:hint="eastAsia" w:ascii="宋体" w:hAnsi="宋体"/>
          <w:color w:val="auto"/>
          <w:sz w:val="28"/>
          <w:szCs w:val="28"/>
        </w:rPr>
        <w:t>老师</w:t>
      </w:r>
      <w:r>
        <w:rPr>
          <w:rFonts w:hint="eastAsia" w:ascii="宋体" w:hAnsi="宋体"/>
          <w:color w:val="auto"/>
          <w:sz w:val="28"/>
          <w:szCs w:val="28"/>
        </w:rPr>
        <w:tab/>
      </w:r>
      <w:r>
        <w:rPr>
          <w:rFonts w:hint="eastAsia" w:ascii="宋体" w:hAnsi="宋体"/>
          <w:color w:val="auto"/>
          <w:sz w:val="28"/>
          <w:szCs w:val="28"/>
        </w:rPr>
        <w:t xml:space="preserve">              联系人： 胡涛</w:t>
      </w:r>
      <w:r>
        <w:rPr>
          <w:rFonts w:hint="eastAsia" w:ascii="宋体" w:hAnsi="宋体"/>
          <w:color w:val="auto"/>
          <w:sz w:val="28"/>
          <w:szCs w:val="28"/>
        </w:rPr>
        <w:tab/>
      </w:r>
    </w:p>
    <w:p>
      <w:pPr>
        <w:pStyle w:val="6"/>
        <w:spacing w:after="0" w:line="360" w:lineRule="auto"/>
        <w:ind w:firstLine="560" w:firstLineChars="200"/>
        <w:rPr>
          <w:rFonts w:ascii="宋体" w:hAnsi="宋体"/>
          <w:color w:val="auto"/>
          <w:sz w:val="28"/>
          <w:szCs w:val="28"/>
        </w:rPr>
      </w:pPr>
      <w:r>
        <w:rPr>
          <w:rFonts w:hint="eastAsia" w:ascii="宋体" w:hAnsi="宋体"/>
          <w:color w:val="auto"/>
          <w:sz w:val="28"/>
          <w:szCs w:val="28"/>
        </w:rPr>
        <w:t>联系电话</w:t>
      </w:r>
      <w:r>
        <w:rPr>
          <w:rFonts w:hint="eastAsia" w:ascii="宋体" w:hAnsi="宋体"/>
          <w:color w:val="auto"/>
          <w:sz w:val="28"/>
          <w:szCs w:val="28"/>
          <w:lang w:eastAsia="zh-CN"/>
        </w:rPr>
        <w:t>：</w:t>
      </w:r>
      <w:r>
        <w:rPr>
          <w:rFonts w:hint="eastAsia" w:ascii="宋体" w:hAnsi="宋体"/>
          <w:color w:val="auto"/>
          <w:sz w:val="28"/>
          <w:szCs w:val="28"/>
        </w:rPr>
        <w:t>023-63931178          联系电话：023- 86867328</w:t>
      </w:r>
    </w:p>
    <w:p>
      <w:pPr>
        <w:pStyle w:val="6"/>
        <w:spacing w:after="0" w:line="360" w:lineRule="auto"/>
        <w:ind w:left="5740" w:leftChars="200" w:hanging="5320" w:hangingChars="1900"/>
        <w:rPr>
          <w:rFonts w:ascii="宋体" w:hAnsi="宋体"/>
          <w:color w:val="auto"/>
          <w:sz w:val="28"/>
          <w:szCs w:val="28"/>
        </w:rPr>
      </w:pPr>
      <w:r>
        <w:rPr>
          <w:rFonts w:ascii="宋体" w:hAnsi="宋体"/>
          <w:color w:val="auto"/>
          <w:sz w:val="28"/>
          <w:szCs w:val="28"/>
        </w:rPr>
        <w:t>地址：</w:t>
      </w:r>
      <w:r>
        <w:rPr>
          <w:rFonts w:hint="eastAsia" w:ascii="宋体" w:hAnsi="宋体"/>
          <w:color w:val="auto"/>
          <w:sz w:val="28"/>
          <w:szCs w:val="28"/>
        </w:rPr>
        <w:t>重庆市渝中区解放西路9号 地址：星光大道68号天王星C栋 17F</w:t>
      </w:r>
    </w:p>
    <w:p>
      <w:pPr>
        <w:pStyle w:val="6"/>
        <w:spacing w:after="0" w:line="360" w:lineRule="auto"/>
        <w:ind w:firstLine="560" w:firstLineChars="200"/>
        <w:rPr>
          <w:rFonts w:ascii="宋体" w:hAnsi="宋体"/>
          <w:color w:val="auto"/>
          <w:sz w:val="28"/>
          <w:szCs w:val="28"/>
        </w:rPr>
      </w:pPr>
    </w:p>
    <w:p>
      <w:pPr>
        <w:pStyle w:val="6"/>
        <w:spacing w:after="0" w:line="360" w:lineRule="auto"/>
        <w:ind w:firstLine="560" w:firstLineChars="200"/>
        <w:rPr>
          <w:rFonts w:ascii="宋体" w:hAnsi="宋体"/>
          <w:color w:val="auto"/>
          <w:sz w:val="28"/>
          <w:szCs w:val="28"/>
        </w:rPr>
      </w:pPr>
    </w:p>
    <w:p>
      <w:pPr>
        <w:pStyle w:val="6"/>
        <w:spacing w:after="0" w:line="360" w:lineRule="auto"/>
        <w:ind w:firstLine="560" w:firstLineChars="200"/>
        <w:rPr>
          <w:rFonts w:ascii="宋体" w:hAnsi="宋体"/>
          <w:color w:val="auto"/>
          <w:sz w:val="28"/>
          <w:szCs w:val="28"/>
        </w:rPr>
      </w:pPr>
    </w:p>
    <w:p>
      <w:pPr>
        <w:pStyle w:val="6"/>
        <w:spacing w:after="0" w:line="360" w:lineRule="auto"/>
        <w:ind w:firstLine="560" w:firstLineChars="200"/>
        <w:rPr>
          <w:rFonts w:ascii="宋体" w:hAnsi="宋体"/>
          <w:color w:val="auto"/>
          <w:sz w:val="28"/>
          <w:szCs w:val="28"/>
        </w:rPr>
      </w:pPr>
    </w:p>
    <w:p>
      <w:pPr>
        <w:pStyle w:val="6"/>
        <w:spacing w:after="0" w:line="360" w:lineRule="auto"/>
        <w:ind w:firstLine="560" w:firstLineChars="200"/>
        <w:rPr>
          <w:rFonts w:ascii="宋体" w:hAnsi="宋体"/>
          <w:color w:val="auto"/>
          <w:sz w:val="28"/>
          <w:szCs w:val="28"/>
        </w:rPr>
      </w:pPr>
    </w:p>
    <w:p>
      <w:pPr>
        <w:pStyle w:val="6"/>
        <w:spacing w:after="0" w:line="360" w:lineRule="auto"/>
        <w:ind w:firstLine="560" w:firstLineChars="200"/>
        <w:rPr>
          <w:rFonts w:ascii="宋体" w:hAnsi="宋体"/>
          <w:color w:val="auto"/>
          <w:sz w:val="28"/>
          <w:szCs w:val="28"/>
        </w:rPr>
      </w:pPr>
    </w:p>
    <w:p>
      <w:pPr>
        <w:spacing w:line="360" w:lineRule="auto"/>
        <w:rPr>
          <w:rFonts w:ascii="宋体" w:hAnsi="宋体"/>
          <w:color w:val="auto"/>
          <w:sz w:val="24"/>
          <w:szCs w:val="28"/>
        </w:rPr>
      </w:pPr>
    </w:p>
    <w:p>
      <w:pPr>
        <w:pStyle w:val="2"/>
        <w:spacing w:before="0" w:after="0" w:line="360" w:lineRule="auto"/>
        <w:ind w:firstLine="200"/>
        <w:jc w:val="center"/>
        <w:rPr>
          <w:rFonts w:ascii="宋体" w:hAnsi="宋体" w:eastAsia="宋体"/>
          <w:color w:val="auto"/>
          <w:sz w:val="36"/>
        </w:rPr>
      </w:pPr>
      <w:bookmarkStart w:id="4" w:name="_Toc16925"/>
      <w:bookmarkStart w:id="5" w:name="_Toc102227313"/>
      <w:r>
        <w:rPr>
          <w:rFonts w:hint="eastAsia" w:ascii="宋体" w:hAnsi="宋体" w:eastAsia="宋体"/>
          <w:color w:val="auto"/>
          <w:sz w:val="36"/>
        </w:rPr>
        <w:t>第二部分 竞争性比选须知</w:t>
      </w:r>
      <w:bookmarkEnd w:id="4"/>
      <w:bookmarkEnd w:id="5"/>
      <w:bookmarkStart w:id="6" w:name="_Toc179714294"/>
      <w:bookmarkStart w:id="7" w:name="_Toc102227314"/>
    </w:p>
    <w:p>
      <w:pPr>
        <w:spacing w:line="360" w:lineRule="auto"/>
        <w:ind w:firstLine="562" w:firstLineChars="200"/>
        <w:rPr>
          <w:rFonts w:ascii="宋体" w:hAnsi="宋体" w:cs="仿宋_GB2312"/>
          <w:b/>
          <w:color w:val="auto"/>
          <w:sz w:val="28"/>
          <w:szCs w:val="28"/>
        </w:rPr>
      </w:pPr>
      <w:r>
        <w:rPr>
          <w:rFonts w:hint="eastAsia" w:ascii="宋体" w:hAnsi="宋体" w:cs="仿宋_GB2312"/>
          <w:b/>
          <w:color w:val="auto"/>
          <w:sz w:val="28"/>
          <w:szCs w:val="28"/>
        </w:rPr>
        <w:t>一、比选费用</w:t>
      </w:r>
      <w:bookmarkEnd w:id="6"/>
      <w:bookmarkEnd w:id="7"/>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参与比选的单位承担其编制竞标文件与递交竞标文件所涉及的一切费用，不论比选结果如何，比选人在任何情况下无义务也无责任承担因此而产生的费用。</w:t>
      </w:r>
      <w:bookmarkStart w:id="8" w:name="_Toc102227316"/>
      <w:bookmarkStart w:id="9" w:name="_Toc179714295"/>
    </w:p>
    <w:p>
      <w:pPr>
        <w:spacing w:line="360" w:lineRule="auto"/>
        <w:ind w:firstLine="562" w:firstLineChars="200"/>
        <w:rPr>
          <w:rFonts w:ascii="宋体" w:hAnsi="宋体" w:cs="仿宋_GB2312"/>
          <w:color w:val="auto"/>
          <w:sz w:val="28"/>
          <w:szCs w:val="28"/>
        </w:rPr>
      </w:pPr>
      <w:r>
        <w:rPr>
          <w:rFonts w:hint="eastAsia" w:ascii="宋体" w:hAnsi="宋体" w:cs="仿宋_GB2312"/>
          <w:b/>
          <w:color w:val="auto"/>
          <w:sz w:val="28"/>
          <w:szCs w:val="28"/>
        </w:rPr>
        <w:t>二、比选资质</w:t>
      </w:r>
      <w:bookmarkEnd w:id="8"/>
      <w:bookmarkEnd w:id="9"/>
      <w:r>
        <w:rPr>
          <w:rFonts w:hint="eastAsia" w:ascii="宋体" w:hAnsi="宋体" w:cs="仿宋_GB2312"/>
          <w:b/>
          <w:color w:val="auto"/>
          <w:sz w:val="28"/>
          <w:szCs w:val="28"/>
        </w:rPr>
        <w:t>及人员要求</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比选单位是指向比选人提供货物、工程或者服务的法人、其他组织或者自然人。以下简称竞标人。</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1、竞标人一般资格条件：</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1.1 具有独立承担民事责任的能力；</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1.2 具有良好的商业信誉和健全的财务会计制度；</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1.3 具有履行合同所必需的专业技术人员；</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1.4 有依法缴纳税收和社会保障资金的良好记录；</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1.5 参加本次比选活动前三年内，在经营活动中没有重大违法记录；</w:t>
      </w:r>
    </w:p>
    <w:p>
      <w:pPr>
        <w:spacing w:line="360" w:lineRule="auto"/>
        <w:ind w:firstLine="560" w:firstLineChars="200"/>
        <w:rPr>
          <w:rFonts w:ascii="宋体" w:hAnsi="宋体" w:cs="仿宋_GB2312"/>
          <w:color w:val="auto"/>
          <w:kern w:val="0"/>
          <w:sz w:val="28"/>
          <w:szCs w:val="28"/>
        </w:rPr>
      </w:pPr>
      <w:r>
        <w:rPr>
          <w:rFonts w:hint="eastAsia" w:ascii="宋体" w:hAnsi="宋体" w:cs="仿宋_GB2312"/>
          <w:color w:val="auto"/>
          <w:sz w:val="28"/>
          <w:szCs w:val="28"/>
        </w:rPr>
        <w:t xml:space="preserve">1.6 </w:t>
      </w:r>
      <w:r>
        <w:rPr>
          <w:rFonts w:hint="eastAsia" w:ascii="宋体" w:hAnsi="宋体" w:cs="仿宋_GB2312"/>
          <w:color w:val="auto"/>
          <w:kern w:val="0"/>
          <w:sz w:val="28"/>
          <w:szCs w:val="28"/>
        </w:rPr>
        <w:t>法律、行政法规规定的其他条件。</w:t>
      </w:r>
    </w:p>
    <w:p>
      <w:pPr>
        <w:spacing w:line="360" w:lineRule="auto"/>
        <w:ind w:firstLine="560" w:firstLineChars="200"/>
        <w:rPr>
          <w:rFonts w:ascii="宋体" w:hAnsi="宋体" w:cs="仿宋_GB2312"/>
          <w:color w:val="auto"/>
          <w:sz w:val="28"/>
          <w:szCs w:val="28"/>
        </w:rPr>
      </w:pPr>
      <w:bookmarkStart w:id="10" w:name="_Toc454806563"/>
      <w:bookmarkStart w:id="11" w:name="_Toc485733553"/>
      <w:bookmarkStart w:id="12" w:name="_Toc179714296"/>
      <w:bookmarkStart w:id="13" w:name="_Toc102227317"/>
      <w:r>
        <w:rPr>
          <w:rFonts w:hint="eastAsia" w:ascii="宋体" w:hAnsi="宋体" w:cs="仿宋_GB2312"/>
          <w:color w:val="auto"/>
          <w:sz w:val="28"/>
          <w:szCs w:val="28"/>
        </w:rPr>
        <w:t>2、比选人资格要求</w:t>
      </w:r>
      <w:bookmarkEnd w:id="10"/>
      <w:bookmarkEnd w:id="11"/>
    </w:p>
    <w:p>
      <w:pPr>
        <w:adjustRightInd w:val="0"/>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2</w:t>
      </w:r>
      <w:r>
        <w:rPr>
          <w:rFonts w:ascii="宋体" w:hAnsi="宋体" w:cs="宋体"/>
          <w:color w:val="auto"/>
          <w:sz w:val="28"/>
          <w:szCs w:val="28"/>
          <w:highlight w:val="none"/>
        </w:rPr>
        <w:t>.1</w:t>
      </w:r>
      <w:r>
        <w:rPr>
          <w:rFonts w:hint="eastAsia" w:ascii="宋体" w:hAnsi="宋体" w:cs="宋体"/>
          <w:color w:val="auto"/>
          <w:sz w:val="28"/>
          <w:szCs w:val="28"/>
          <w:highlight w:val="none"/>
        </w:rPr>
        <w:t xml:space="preserve"> 比选申请人须具备国家建设行政主管部门颁发的电力工程监理乙级及以上资质，并在人员、设备、资金等方面具有相应的监理能力。</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rPr>
        <w:t>2.2提供本项目</w:t>
      </w:r>
      <w:r>
        <w:rPr>
          <w:rFonts w:hint="eastAsia" w:ascii="宋体" w:hAnsi="宋体" w:cs="宋体"/>
          <w:color w:val="auto"/>
          <w:sz w:val="28"/>
          <w:szCs w:val="28"/>
          <w:highlight w:val="none"/>
          <w:lang w:val="en-US" w:eastAsia="zh-CN"/>
        </w:rPr>
        <w:t>监理项目部人员</w:t>
      </w:r>
      <w:r>
        <w:rPr>
          <w:rFonts w:hint="eastAsia" w:ascii="宋体" w:hAnsi="宋体" w:cs="宋体"/>
          <w:color w:val="auto"/>
          <w:sz w:val="28"/>
          <w:szCs w:val="28"/>
          <w:highlight w:val="none"/>
        </w:rPr>
        <w:t>名单，要求</w:t>
      </w:r>
      <w:r>
        <w:rPr>
          <w:rFonts w:hint="eastAsia" w:ascii="宋体" w:hAnsi="宋体" w:cs="宋体"/>
          <w:color w:val="auto"/>
          <w:sz w:val="28"/>
          <w:szCs w:val="28"/>
          <w:highlight w:val="none"/>
          <w:lang w:val="en-US" w:eastAsia="zh-CN"/>
        </w:rPr>
        <w:t>监理项目部</w:t>
      </w:r>
      <w:r>
        <w:rPr>
          <w:rFonts w:hint="eastAsia" w:ascii="宋体" w:hAnsi="宋体" w:cs="宋体"/>
          <w:color w:val="auto"/>
          <w:sz w:val="28"/>
          <w:szCs w:val="28"/>
          <w:highlight w:val="none"/>
        </w:rPr>
        <w:t>不少于3名</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且为本单位人员</w:t>
      </w:r>
      <w:r>
        <w:rPr>
          <w:rFonts w:hint="eastAsia" w:ascii="宋体" w:hAnsi="宋体" w:cs="宋体"/>
          <w:color w:val="auto"/>
          <w:sz w:val="28"/>
          <w:szCs w:val="28"/>
          <w:highlight w:val="none"/>
          <w:lang w:val="en-US" w:eastAsia="zh-CN"/>
        </w:rPr>
        <w:t>(提供资格证书全本彩印件和缴纳社保证明复印件加盖投标单位鲜章）。</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2.2.1总监理工程师资格要求</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总监理工程师为本单位在职职工。必须在投标人本单位注册并应具备国家建设部颁发的注册监理工程师证书（注册专业：电力工程），且具有中级及以上技术职称。</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2.2.2.专业监理工程师资格要求</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建筑专业监理工程师：1人；</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专业监理工程师为本单位在册职工，须具备国家建设部颁发的注册监理工程师证书（注册专业：房屋建筑工程）。</w:t>
      </w:r>
    </w:p>
    <w:p>
      <w:pPr>
        <w:adjustRightInd w:val="0"/>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电力专业监理工程师：1人；</w:t>
      </w:r>
    </w:p>
    <w:p>
      <w:pPr>
        <w:adjustRightInd w:val="0"/>
        <w:snapToGrid w:val="0"/>
        <w:spacing w:line="360" w:lineRule="auto"/>
        <w:ind w:firstLine="560" w:firstLineChars="200"/>
        <w:rPr>
          <w:rFonts w:hint="default" w:ascii="宋体" w:hAnsi="宋体" w:cs="宋体"/>
          <w:szCs w:val="21"/>
          <w:lang w:val="en-US" w:eastAsia="zh-CN"/>
        </w:rPr>
      </w:pPr>
      <w:r>
        <w:rPr>
          <w:rFonts w:hint="eastAsia" w:ascii="宋体" w:hAnsi="宋体" w:cs="宋体"/>
          <w:color w:val="auto"/>
          <w:sz w:val="28"/>
          <w:szCs w:val="28"/>
          <w:highlight w:val="none"/>
          <w:lang w:val="en-US" w:eastAsia="zh-CN"/>
        </w:rPr>
        <w:t>专业监理工程师为本单位在册职工，须具备国家建设部颁发的注册监理工程师证书（注册专业：电力工程）。</w:t>
      </w:r>
    </w:p>
    <w:p>
      <w:pPr>
        <w:adjustRightInd w:val="0"/>
        <w:snapToGrid w:val="0"/>
        <w:spacing w:line="360" w:lineRule="auto"/>
        <w:ind w:firstLine="560" w:firstLineChars="200"/>
        <w:rPr>
          <w:rFonts w:ascii="宋体" w:hAnsi="宋体" w:cs="宋体"/>
          <w:color w:val="auto"/>
          <w:sz w:val="28"/>
          <w:szCs w:val="28"/>
          <w:highlight w:val="none"/>
        </w:rPr>
      </w:pPr>
      <w:bookmarkStart w:id="26" w:name="_GoBack"/>
      <w:r>
        <w:rPr>
          <w:rFonts w:hint="eastAsia" w:ascii="宋体" w:hAnsi="宋体" w:cs="宋体"/>
          <w:color w:val="auto"/>
          <w:sz w:val="28"/>
          <w:szCs w:val="28"/>
          <w:highlight w:val="none"/>
        </w:rPr>
        <w:t>市外设计企业须按照渝建发[2017]19号文的要求办理入渝信息报送，提供“重庆市城乡建设委员会勘察设计行业综合信息平</w:t>
      </w:r>
      <w:r>
        <w:rPr>
          <w:rFonts w:hint="eastAsia" w:ascii="宋体" w:hAnsi="宋体"/>
          <w:color w:val="auto"/>
          <w:sz w:val="28"/>
          <w:szCs w:val="28"/>
          <w:highlight w:val="none"/>
        </w:rPr>
        <w:t>台”的信息截图并加</w:t>
      </w:r>
      <w:r>
        <w:rPr>
          <w:rFonts w:hint="eastAsia" w:ascii="宋体" w:hAnsi="宋体" w:cs="宋体"/>
          <w:color w:val="auto"/>
          <w:sz w:val="28"/>
          <w:szCs w:val="28"/>
          <w:highlight w:val="none"/>
        </w:rPr>
        <w:t>盖投标人单位公章。</w:t>
      </w:r>
    </w:p>
    <w:bookmarkEnd w:id="26"/>
    <w:p>
      <w:pPr>
        <w:pStyle w:val="6"/>
        <w:spacing w:after="0" w:line="360" w:lineRule="auto"/>
        <w:ind w:firstLine="560" w:firstLineChars="200"/>
        <w:rPr>
          <w:rFonts w:hint="eastAsia" w:ascii="宋体" w:hAnsi="宋体"/>
          <w:color w:val="auto"/>
          <w:sz w:val="28"/>
          <w:szCs w:val="28"/>
        </w:rPr>
      </w:pPr>
      <w:r>
        <w:rPr>
          <w:rFonts w:hint="eastAsia" w:ascii="宋体" w:hAnsi="宋体" w:cs="仿宋_GB2312"/>
          <w:color w:val="auto"/>
          <w:sz w:val="28"/>
          <w:szCs w:val="28"/>
        </w:rPr>
        <w:t>2.</w:t>
      </w:r>
      <w:r>
        <w:rPr>
          <w:rFonts w:hint="eastAsia" w:ascii="宋体" w:hAnsi="宋体" w:cs="仿宋_GB2312"/>
          <w:color w:val="auto"/>
          <w:sz w:val="28"/>
          <w:szCs w:val="28"/>
          <w:lang w:val="en-US" w:eastAsia="zh-CN"/>
        </w:rPr>
        <w:t>3</w:t>
      </w:r>
      <w:r>
        <w:rPr>
          <w:rFonts w:hint="eastAsia" w:ascii="宋体" w:hAnsi="宋体" w:cs="仿宋_GB2312"/>
          <w:color w:val="auto"/>
          <w:sz w:val="28"/>
          <w:szCs w:val="28"/>
        </w:rPr>
        <w:t xml:space="preserve"> </w:t>
      </w:r>
      <w:r>
        <w:rPr>
          <w:rFonts w:hint="eastAsia" w:ascii="宋体" w:hAnsi="宋体"/>
          <w:color w:val="auto"/>
          <w:sz w:val="28"/>
          <w:szCs w:val="28"/>
        </w:rPr>
        <w:t>信誉要求：具有良好的商业信誉和健全的财务会计制度；有依法缴纳税和社会保障金收良好记录；具有履行合同所必需的设备和专业技术能力；参加投标活动近三年内，在经营活动中没有重大违法记录；法律、行政法规规定的其他条件。</w:t>
      </w:r>
    </w:p>
    <w:p>
      <w:pPr>
        <w:pStyle w:val="6"/>
        <w:spacing w:after="0" w:line="360" w:lineRule="auto"/>
        <w:ind w:firstLine="560" w:firstLineChars="200"/>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2.4现场勘察：不组织，各潜在投标人可自行踏勘。</w:t>
      </w:r>
    </w:p>
    <w:p>
      <w:pPr>
        <w:snapToGrid w:val="0"/>
        <w:spacing w:line="360" w:lineRule="auto"/>
        <w:ind w:firstLine="562" w:firstLineChars="200"/>
        <w:rPr>
          <w:rFonts w:ascii="宋体" w:hAnsi="宋体" w:cs="仿宋_GB2312"/>
          <w:b/>
          <w:color w:val="auto"/>
          <w:sz w:val="28"/>
          <w:szCs w:val="28"/>
        </w:rPr>
      </w:pPr>
      <w:r>
        <w:rPr>
          <w:rFonts w:hint="eastAsia" w:ascii="宋体" w:hAnsi="宋体" w:cs="仿宋_GB2312"/>
          <w:b/>
          <w:color w:val="auto"/>
          <w:sz w:val="28"/>
          <w:szCs w:val="28"/>
        </w:rPr>
        <w:t>三、竞争性比选文件</w:t>
      </w:r>
      <w:bookmarkEnd w:id="12"/>
      <w:bookmarkEnd w:id="13"/>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1、竞争性比选文件由比选邀请书、比选须知、技术要求、商务条款和竞标文件格式要求组成。</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2、比选人所作的一切有效的书面通知、修改及补充，都是竞争性比选文件不可分割的部分。</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3、竞争性比选文件的解释</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竞标人如对竞争性比选文件有疑问，必须在</w:t>
      </w:r>
      <w:r>
        <w:rPr>
          <w:rFonts w:hint="eastAsia" w:ascii="宋体" w:hAnsi="宋体"/>
          <w:color w:val="auto"/>
          <w:sz w:val="28"/>
          <w:szCs w:val="28"/>
        </w:rPr>
        <w:t>质疑截止时间</w:t>
      </w:r>
      <w:r>
        <w:rPr>
          <w:rFonts w:hint="eastAsia" w:ascii="宋体" w:hAnsi="宋体" w:cs="仿宋_GB2312"/>
          <w:color w:val="auto"/>
          <w:sz w:val="28"/>
          <w:szCs w:val="28"/>
        </w:rPr>
        <w:t>向比选人提出，比选人可视具体情况做出处理或答复。如竞标人未在规定时间内提出疑问，视为完全理解并同意本竞争性比选文件内容。</w:t>
      </w:r>
    </w:p>
    <w:p>
      <w:pPr>
        <w:snapToGrid w:val="0"/>
        <w:spacing w:line="360" w:lineRule="auto"/>
        <w:ind w:firstLine="562" w:firstLineChars="200"/>
        <w:rPr>
          <w:rFonts w:ascii="宋体" w:hAnsi="宋体" w:cs="仿宋_GB2312"/>
          <w:b/>
          <w:color w:val="auto"/>
          <w:sz w:val="28"/>
          <w:szCs w:val="28"/>
        </w:rPr>
      </w:pPr>
      <w:bookmarkStart w:id="14" w:name="_Toc102227318"/>
      <w:bookmarkStart w:id="15" w:name="_Toc179714297"/>
      <w:r>
        <w:rPr>
          <w:rFonts w:hint="eastAsia" w:ascii="宋体" w:hAnsi="宋体" w:cs="仿宋_GB2312"/>
          <w:b/>
          <w:color w:val="auto"/>
          <w:sz w:val="28"/>
          <w:szCs w:val="28"/>
        </w:rPr>
        <w:t>四、比选要求</w:t>
      </w:r>
      <w:bookmarkEnd w:id="14"/>
      <w:bookmarkEnd w:id="15"/>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1、竞标人提交的竞标文件由以下部分和竞标人所作的一切有效补充、修改和承诺等文件组成。它包括：</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1.1 竞争性报价函；</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1.2 法定代表人身份证明书；</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1.3 法定代表人授权委托书；</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1.4 营业执照及相关资质证书（复印件，盖鲜章）；</w:t>
      </w:r>
    </w:p>
    <w:p>
      <w:pPr>
        <w:spacing w:line="360" w:lineRule="auto"/>
        <w:ind w:firstLine="560" w:firstLineChars="200"/>
        <w:rPr>
          <w:rFonts w:hint="eastAsia" w:ascii="宋体" w:hAnsi="宋体" w:cs="仿宋_GB2312"/>
          <w:color w:val="auto"/>
          <w:sz w:val="28"/>
          <w:szCs w:val="28"/>
        </w:rPr>
      </w:pPr>
      <w:r>
        <w:rPr>
          <w:rFonts w:hint="eastAsia" w:ascii="宋体" w:hAnsi="宋体" w:cs="仿宋_GB2312"/>
          <w:color w:val="auto"/>
          <w:sz w:val="28"/>
          <w:szCs w:val="28"/>
        </w:rPr>
        <w:t>1.6 项目</w:t>
      </w:r>
      <w:r>
        <w:rPr>
          <w:rFonts w:hint="eastAsia" w:ascii="宋体" w:hAnsi="宋体" w:cs="仿宋_GB2312"/>
          <w:color w:val="auto"/>
          <w:sz w:val="28"/>
          <w:szCs w:val="28"/>
          <w:lang w:val="en-US" w:eastAsia="zh-CN"/>
        </w:rPr>
        <w:t>人员</w:t>
      </w:r>
      <w:r>
        <w:rPr>
          <w:rFonts w:hint="eastAsia" w:ascii="宋体" w:hAnsi="宋体" w:cs="仿宋_GB2312"/>
          <w:color w:val="auto"/>
          <w:sz w:val="28"/>
          <w:szCs w:val="28"/>
        </w:rPr>
        <w:t>附表；</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1.7 项目</w:t>
      </w:r>
      <w:r>
        <w:rPr>
          <w:rFonts w:hint="eastAsia" w:ascii="宋体" w:hAnsi="宋体" w:cs="仿宋_GB2312"/>
          <w:color w:val="auto"/>
          <w:sz w:val="28"/>
          <w:szCs w:val="28"/>
          <w:lang w:val="en-US" w:eastAsia="zh-CN"/>
        </w:rPr>
        <w:t>人员</w:t>
      </w:r>
      <w:r>
        <w:rPr>
          <w:rFonts w:hint="eastAsia" w:ascii="宋体" w:hAnsi="宋体" w:cs="仿宋_GB2312"/>
          <w:color w:val="auto"/>
          <w:sz w:val="28"/>
          <w:szCs w:val="28"/>
        </w:rPr>
        <w:t>资格和社保证明材料（</w:t>
      </w:r>
      <w:r>
        <w:rPr>
          <w:rFonts w:hint="eastAsia" w:ascii="宋体" w:hAnsi="宋体" w:cs="仿宋_GB2312"/>
          <w:color w:val="auto"/>
          <w:sz w:val="28"/>
          <w:szCs w:val="28"/>
          <w:lang w:val="en-US" w:eastAsia="zh-CN"/>
        </w:rPr>
        <w:t>提供资格证书全本彩印件和</w:t>
      </w:r>
      <w:r>
        <w:rPr>
          <w:rFonts w:hint="eastAsia" w:ascii="宋体" w:hAnsi="宋体" w:cs="宋体"/>
          <w:color w:val="auto"/>
          <w:sz w:val="28"/>
          <w:szCs w:val="28"/>
          <w:highlight w:val="none"/>
          <w:lang w:val="en-US" w:eastAsia="zh-CN"/>
        </w:rPr>
        <w:t>缴纳社保证明复印件</w:t>
      </w:r>
      <w:r>
        <w:rPr>
          <w:rFonts w:hint="eastAsia" w:ascii="宋体" w:hAnsi="宋体" w:cs="仿宋_GB2312"/>
          <w:color w:val="auto"/>
          <w:sz w:val="28"/>
          <w:szCs w:val="28"/>
        </w:rPr>
        <w:t>,</w:t>
      </w:r>
      <w:r>
        <w:rPr>
          <w:rFonts w:hint="eastAsia" w:ascii="宋体" w:hAnsi="宋体" w:cs="仿宋_GB2312"/>
          <w:color w:val="auto"/>
          <w:sz w:val="28"/>
          <w:szCs w:val="28"/>
          <w:lang w:val="en-US" w:eastAsia="zh-CN"/>
        </w:rPr>
        <w:t>加盖公司</w:t>
      </w:r>
      <w:r>
        <w:rPr>
          <w:rFonts w:hint="eastAsia" w:ascii="宋体" w:hAnsi="宋体" w:cs="仿宋_GB2312"/>
          <w:color w:val="auto"/>
          <w:sz w:val="28"/>
          <w:szCs w:val="28"/>
        </w:rPr>
        <w:t>鲜章）；</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1.8 诚信声明；</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 xml:space="preserve">1.9 </w:t>
      </w:r>
      <w:r>
        <w:rPr>
          <w:rFonts w:hint="eastAsia" w:ascii="宋体" w:hAnsi="宋体" w:cs="仿宋_GB2312"/>
          <w:color w:val="auto"/>
          <w:sz w:val="28"/>
          <w:szCs w:val="28"/>
          <w:lang w:val="en-US" w:eastAsia="zh-CN"/>
        </w:rPr>
        <w:t>技术部分（监理大纲）</w:t>
      </w:r>
      <w:r>
        <w:rPr>
          <w:rFonts w:hint="eastAsia" w:ascii="宋体" w:hAnsi="宋体" w:cs="仿宋_GB2312"/>
          <w:color w:val="auto"/>
          <w:sz w:val="28"/>
          <w:szCs w:val="28"/>
        </w:rPr>
        <w:t>（详附录6）；</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以上条款基本格式见本文件第五部分“竞标文件格式要求”，竞标人也可在基本格式基础上对表格进行扩展。未规定格式的由竞标人自定格式。</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2、比选有效期：竞标文件及有关承诺文件有效期为比选开始时间起30天。</w:t>
      </w:r>
    </w:p>
    <w:p>
      <w:pPr>
        <w:widowControl/>
        <w:snapToGrid w:val="0"/>
        <w:spacing w:line="360" w:lineRule="auto"/>
        <w:ind w:firstLine="523" w:firstLineChars="187"/>
        <w:rPr>
          <w:rFonts w:ascii="宋体" w:hAnsi="宋体" w:cs="仿宋_GB2312"/>
          <w:color w:val="auto"/>
          <w:sz w:val="28"/>
          <w:szCs w:val="28"/>
        </w:rPr>
      </w:pPr>
      <w:r>
        <w:rPr>
          <w:rFonts w:hint="eastAsia" w:ascii="宋体" w:hAnsi="宋体" w:cs="仿宋_GB2312"/>
          <w:color w:val="auto"/>
          <w:sz w:val="28"/>
          <w:szCs w:val="28"/>
        </w:rPr>
        <w:t>3、竞标报价：</w:t>
      </w:r>
    </w:p>
    <w:p>
      <w:pPr>
        <w:spacing w:line="360" w:lineRule="auto"/>
        <w:ind w:firstLine="560" w:firstLineChars="200"/>
        <w:rPr>
          <w:rFonts w:ascii="宋体" w:hAnsi="宋体" w:cs="仿宋_GB2312"/>
          <w:color w:val="auto"/>
          <w:sz w:val="28"/>
          <w:szCs w:val="28"/>
        </w:rPr>
      </w:pPr>
      <w:r>
        <w:rPr>
          <w:rFonts w:hint="eastAsia" w:ascii="宋体" w:hAnsi="宋体"/>
          <w:color w:val="auto"/>
          <w:sz w:val="28"/>
          <w:szCs w:val="28"/>
        </w:rPr>
        <w:t>3.1各比选申请人根据本项目特点、发布平面布置图、技术要求、比选文件，结合自身实力、市场行情自主合理报价，中选后，比选报价不作调整，比选人</w:t>
      </w:r>
      <w:r>
        <w:rPr>
          <w:rFonts w:ascii="宋体" w:hAnsi="宋体"/>
          <w:color w:val="auto"/>
          <w:sz w:val="28"/>
          <w:szCs w:val="28"/>
        </w:rPr>
        <w:t>不支付</w:t>
      </w:r>
      <w:r>
        <w:rPr>
          <w:rFonts w:hint="eastAsia" w:ascii="宋体" w:hAnsi="宋体"/>
          <w:color w:val="auto"/>
          <w:sz w:val="28"/>
          <w:szCs w:val="28"/>
        </w:rPr>
        <w:t>报价以外的</w:t>
      </w:r>
      <w:r>
        <w:rPr>
          <w:rFonts w:ascii="宋体" w:hAnsi="宋体"/>
          <w:color w:val="auto"/>
          <w:sz w:val="28"/>
          <w:szCs w:val="28"/>
        </w:rPr>
        <w:t>其它费用。</w:t>
      </w:r>
      <w:r>
        <w:rPr>
          <w:rFonts w:hint="eastAsia" w:ascii="宋体" w:hAnsi="宋体"/>
          <w:color w:val="auto"/>
          <w:sz w:val="28"/>
          <w:szCs w:val="28"/>
        </w:rPr>
        <w:t>报价方式为总价包干。最高限价为人民币</w:t>
      </w:r>
      <w:r>
        <w:rPr>
          <w:rFonts w:hint="eastAsia" w:ascii="宋体" w:hAnsi="宋体" w:eastAsia="宋体" w:cs="宋体"/>
          <w:color w:val="auto"/>
          <w:sz w:val="28"/>
          <w:szCs w:val="28"/>
          <w:u w:val="single"/>
        </w:rPr>
        <w:t>￥</w:t>
      </w:r>
      <w:r>
        <w:rPr>
          <w:rFonts w:hint="eastAsia" w:ascii="宋体" w:hAnsi="宋体"/>
          <w:color w:val="auto"/>
          <w:sz w:val="28"/>
          <w:szCs w:val="28"/>
          <w:u w:val="single"/>
          <w:lang w:val="en-US" w:eastAsia="zh-CN"/>
        </w:rPr>
        <w:t>329200.00</w:t>
      </w:r>
      <w:r>
        <w:rPr>
          <w:rFonts w:hint="eastAsia" w:ascii="宋体" w:hAnsi="宋体"/>
          <w:color w:val="auto"/>
          <w:sz w:val="28"/>
          <w:szCs w:val="28"/>
        </w:rPr>
        <w:t>元，若</w:t>
      </w:r>
      <w:r>
        <w:rPr>
          <w:rFonts w:hint="eastAsia" w:ascii="宋体" w:hAnsi="宋体" w:cs="仿宋_GB2312"/>
          <w:color w:val="auto"/>
          <w:sz w:val="28"/>
          <w:szCs w:val="28"/>
        </w:rPr>
        <w:t>超过最高限价为无效报价,不参与评比。</w:t>
      </w:r>
    </w:p>
    <w:p>
      <w:pPr>
        <w:spacing w:line="360" w:lineRule="auto"/>
        <w:ind w:firstLine="560" w:firstLineChars="200"/>
        <w:rPr>
          <w:rFonts w:ascii="仿宋" w:hAnsi="仿宋" w:eastAsia="仿宋"/>
          <w:b/>
          <w:bCs/>
          <w:color w:val="auto"/>
          <w:sz w:val="28"/>
          <w:szCs w:val="28"/>
        </w:rPr>
      </w:pPr>
      <w:r>
        <w:rPr>
          <w:rFonts w:hint="eastAsia" w:ascii="宋体" w:hAnsi="宋体" w:cs="仿宋_GB2312"/>
          <w:color w:val="auto"/>
          <w:sz w:val="28"/>
          <w:szCs w:val="28"/>
        </w:rPr>
        <w:t>3.2报价原则</w:t>
      </w:r>
    </w:p>
    <w:p>
      <w:pPr>
        <w:spacing w:line="360" w:lineRule="auto"/>
        <w:ind w:firstLine="560" w:firstLineChars="200"/>
        <w:rPr>
          <w:rFonts w:ascii="宋体" w:hAnsi="宋体" w:cs="宋体"/>
          <w:color w:val="auto"/>
          <w:kern w:val="44"/>
          <w:sz w:val="28"/>
          <w:szCs w:val="28"/>
        </w:rPr>
      </w:pPr>
      <w:r>
        <w:rPr>
          <w:rFonts w:hint="eastAsia" w:ascii="宋体" w:hAnsi="宋体" w:cs="宋体"/>
          <w:color w:val="auto"/>
          <w:sz w:val="28"/>
          <w:szCs w:val="28"/>
        </w:rPr>
        <w:t>（1）本次</w:t>
      </w:r>
      <w:r>
        <w:rPr>
          <w:rFonts w:hint="eastAsia" w:ascii="宋体" w:hAnsi="宋体" w:cs="宋体"/>
          <w:color w:val="auto"/>
          <w:sz w:val="28"/>
          <w:szCs w:val="28"/>
          <w:lang w:eastAsia="zh-CN"/>
        </w:rPr>
        <w:t>供配电工程监理</w:t>
      </w:r>
      <w:r>
        <w:rPr>
          <w:rFonts w:hint="eastAsia" w:ascii="宋体" w:hAnsi="宋体" w:cs="宋体"/>
          <w:color w:val="auto"/>
          <w:sz w:val="28"/>
          <w:szCs w:val="28"/>
        </w:rPr>
        <w:t>单位比选采用总价包干方式进行报价，</w:t>
      </w:r>
      <w:r>
        <w:rPr>
          <w:rFonts w:hint="eastAsia" w:ascii="宋体" w:hAnsi="宋体" w:cs="宋体"/>
          <w:color w:val="auto"/>
          <w:spacing w:val="6"/>
          <w:sz w:val="28"/>
          <w:szCs w:val="28"/>
        </w:rPr>
        <w:t>包含且不限于</w:t>
      </w:r>
      <w:r>
        <w:rPr>
          <w:rFonts w:hint="eastAsia" w:ascii="宋体" w:hAnsi="宋体" w:cs="宋体"/>
          <w:color w:val="auto"/>
          <w:kern w:val="44"/>
          <w:sz w:val="28"/>
          <w:szCs w:val="28"/>
        </w:rPr>
        <w:t>完成</w:t>
      </w:r>
      <w:r>
        <w:rPr>
          <w:rFonts w:hint="eastAsia" w:ascii="宋体" w:hAnsi="宋体" w:cs="宋体"/>
          <w:color w:val="auto"/>
          <w:kern w:val="44"/>
          <w:sz w:val="28"/>
          <w:szCs w:val="28"/>
          <w:lang w:val="en-US" w:eastAsia="zh-CN"/>
        </w:rPr>
        <w:t>监理工作</w:t>
      </w:r>
      <w:r>
        <w:rPr>
          <w:rFonts w:hint="eastAsia" w:ascii="宋体" w:hAnsi="宋体" w:cs="宋体"/>
          <w:color w:val="auto"/>
          <w:kern w:val="44"/>
          <w:sz w:val="28"/>
          <w:szCs w:val="28"/>
        </w:rPr>
        <w:t>所需的全部费用，比选人不再另行支付报价外的其他任何费用。本招标文件未提及的任何费用不再另计</w:t>
      </w:r>
      <w:r>
        <w:rPr>
          <w:rFonts w:hint="eastAsia" w:ascii="宋体" w:hAnsi="宋体" w:cs="宋体"/>
          <w:color w:val="auto"/>
          <w:sz w:val="28"/>
          <w:szCs w:val="28"/>
        </w:rPr>
        <w:t>。</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一切风险比选人应自行考虑在此次比选报价中，包干单价一经确定不作任何形式的调整。若投标人有漏项或未报价，视为综合到其他项目报价中，投标人仍必须完成未报价部分的工作内容，但不能得到结算与支付。比选申请人应根据国家、地方及行业规定完成本设计所需费用的支付或缴纳，成交后结算时不作任何调整；如不能按时支付或缴纳，比选人将按标准予以代付，代付金额直接从中标人的进度款及结算款中扣除。</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4、提交竞标文件的份数和签署</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（1）竞标文件正本一份，副本一份。副本可为正本的复印件。</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（2）竞标文件正本及报价函均应由法定代表人或法定代表人授权代表签名并盖公章。</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5、竞标文件的递交</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5.1 竞标文件的密封与标记</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竞标</w:t>
      </w:r>
      <w:r>
        <w:rPr>
          <w:rFonts w:hint="eastAsia" w:ascii="宋体" w:hAnsi="宋体"/>
          <w:color w:val="auto"/>
          <w:sz w:val="28"/>
          <w:szCs w:val="28"/>
        </w:rPr>
        <w:t>文件</w:t>
      </w:r>
      <w:r>
        <w:rPr>
          <w:rFonts w:hint="eastAsia" w:ascii="宋体" w:hAnsi="宋体" w:cs="仿宋_GB2312"/>
          <w:color w:val="auto"/>
          <w:sz w:val="28"/>
          <w:szCs w:val="28"/>
        </w:rPr>
        <w:t>的正本、副本应分别密封。密封袋上注明项目名称、比选人名称和地址、“正本”、“副本”字样。信封封口处须用白封条加以覆盖密封并加盖企业公章或法人授权代表签字。</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5.2 竞标文件投递截止时间：参阅竞争性比选邀请书。</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6、竞标文件语言：简体中文</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7、竞标人参与人员</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各个竞标人可派1-3名代表参与比选，至少1人应为竞标人法定代表人或具有法人授权委托书的授权代表。</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8、无效比选</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竞标人发生以下条款情况之一者，视为无效比选，其竞标文件将被拒绝：</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 xml:space="preserve">（1）法定代表人或法人授权代表未参加比选。 </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 xml:space="preserve">（2）无主要的有效资格证明文件。 </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（3）竞标文件不按规定签字、盖章。</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（4）竞标人的报价超出规定的报价限价。</w:t>
      </w:r>
    </w:p>
    <w:p>
      <w:pPr>
        <w:snapToGrid w:val="0"/>
        <w:spacing w:line="360" w:lineRule="auto"/>
        <w:ind w:firstLine="200"/>
        <w:rPr>
          <w:rFonts w:ascii="宋体" w:hAnsi="宋体" w:cs="仿宋_GB2312"/>
          <w:color w:val="auto"/>
          <w:sz w:val="28"/>
          <w:szCs w:val="28"/>
        </w:rPr>
      </w:pPr>
      <w:r>
        <w:rPr>
          <w:rFonts w:hint="eastAsia" w:ascii="宋体" w:hAnsi="宋体" w:cs="仿宋_GB2312"/>
          <w:color w:val="auto"/>
          <w:sz w:val="28"/>
          <w:szCs w:val="28"/>
        </w:rPr>
        <w:t>（5）竞标人比选文件内容有与国家现行法律法规相违背的内容，或附有比选人无法接受的条件。</w:t>
      </w:r>
    </w:p>
    <w:p>
      <w:pPr>
        <w:keepNext/>
        <w:keepLines/>
        <w:spacing w:line="360" w:lineRule="auto"/>
        <w:ind w:firstLine="548" w:firstLineChars="195"/>
        <w:outlineLvl w:val="2"/>
        <w:rPr>
          <w:rFonts w:ascii="宋体" w:hAnsi="宋体" w:cs="仿宋_GB2312"/>
          <w:b/>
          <w:color w:val="auto"/>
          <w:sz w:val="28"/>
          <w:szCs w:val="28"/>
        </w:rPr>
      </w:pPr>
      <w:bookmarkStart w:id="16" w:name="_Toc179714298"/>
      <w:bookmarkStart w:id="17" w:name="_Toc102227319"/>
      <w:r>
        <w:rPr>
          <w:rFonts w:hint="eastAsia" w:ascii="宋体" w:hAnsi="宋体" w:cs="仿宋_GB2312"/>
          <w:b/>
          <w:color w:val="auto"/>
          <w:sz w:val="28"/>
          <w:szCs w:val="28"/>
        </w:rPr>
        <w:t>五、比选程序</w:t>
      </w:r>
      <w:bookmarkEnd w:id="16"/>
      <w:bookmarkEnd w:id="17"/>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1、比选人组织的比选按竞争性比选文件规定的时间和地点进行。竞标人须有法人或法人授权代表参加并签到。</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2、本次比选评选小组由业主代表</w:t>
      </w:r>
      <w:r>
        <w:rPr>
          <w:rFonts w:hint="eastAsia" w:ascii="宋体" w:hAnsi="宋体" w:cs="仿宋_GB2312"/>
          <w:color w:val="auto"/>
          <w:sz w:val="28"/>
          <w:szCs w:val="28"/>
          <w:lang w:val="en-US" w:eastAsia="zh-CN"/>
        </w:rPr>
        <w:t>2</w:t>
      </w:r>
      <w:r>
        <w:rPr>
          <w:rFonts w:hint="eastAsia" w:ascii="宋体" w:hAnsi="宋体" w:cs="仿宋_GB2312"/>
          <w:color w:val="auto"/>
          <w:sz w:val="28"/>
          <w:szCs w:val="28"/>
        </w:rPr>
        <w:t>名，</w:t>
      </w:r>
      <w:r>
        <w:rPr>
          <w:rFonts w:hint="eastAsia" w:ascii="宋体" w:hAnsi="宋体" w:cs="仿宋_GB2312"/>
          <w:color w:val="auto"/>
          <w:sz w:val="28"/>
          <w:szCs w:val="28"/>
          <w:lang w:val="en-US" w:eastAsia="zh-CN"/>
        </w:rPr>
        <w:t>代理业主代表1</w:t>
      </w:r>
      <w:r>
        <w:rPr>
          <w:rFonts w:hint="eastAsia" w:ascii="宋体" w:hAnsi="宋体" w:cs="仿宋_GB2312"/>
          <w:color w:val="auto"/>
          <w:sz w:val="28"/>
          <w:szCs w:val="28"/>
        </w:rPr>
        <w:t>名。业主监督1-2名。</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3、竞争性比选由比选人组织的比选小组在正式比选前，先对各竞标人的资质条件进行审查，审查的内容包括竞标人法人营业执照；竞标人法定代表人身份证明和授权代表委托书；竞标人的资质</w:t>
      </w:r>
      <w:r>
        <w:rPr>
          <w:rFonts w:hint="eastAsia" w:ascii="宋体" w:hAnsi="宋体" w:cs="仿宋_GB2312"/>
          <w:color w:val="auto"/>
          <w:sz w:val="28"/>
          <w:szCs w:val="28"/>
          <w:lang w:val="en-US" w:eastAsia="zh-CN"/>
        </w:rPr>
        <w:t>及</w:t>
      </w:r>
      <w:r>
        <w:rPr>
          <w:rFonts w:hint="eastAsia" w:ascii="宋体" w:hAnsi="宋体" w:cs="仿宋_GB2312"/>
          <w:color w:val="auto"/>
          <w:sz w:val="28"/>
          <w:szCs w:val="28"/>
        </w:rPr>
        <w:t>人员资格。各竞标人资格审查完全符合比选要求的前提下，才能参与正式比选。</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4、初始比选后，比选小组按照比选文件成交原则进行评比。</w:t>
      </w:r>
    </w:p>
    <w:p>
      <w:pPr>
        <w:snapToGrid w:val="0"/>
        <w:spacing w:line="360" w:lineRule="auto"/>
        <w:ind w:firstLine="546" w:firstLineChars="195"/>
        <w:rPr>
          <w:rFonts w:ascii="宋体" w:hAnsi="宋体" w:cs="仿宋_GB2312"/>
          <w:color w:val="auto"/>
          <w:sz w:val="28"/>
          <w:szCs w:val="28"/>
        </w:rPr>
      </w:pPr>
      <w:r>
        <w:rPr>
          <w:rFonts w:ascii="宋体" w:hAnsi="宋体" w:cs="仿宋_GB2312"/>
          <w:color w:val="auto"/>
          <w:sz w:val="28"/>
          <w:szCs w:val="28"/>
        </w:rPr>
        <w:t xml:space="preserve">4.1 </w:t>
      </w:r>
      <w:r>
        <w:rPr>
          <w:rFonts w:hint="eastAsia" w:ascii="宋体" w:hAnsi="宋体" w:cs="仿宋_GB2312"/>
          <w:color w:val="auto"/>
          <w:sz w:val="28"/>
          <w:szCs w:val="28"/>
        </w:rPr>
        <w:t>评标委员会按成交原则的规定进行评审。</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w:t>
      </w:r>
      <w:r>
        <w:rPr>
          <w:rFonts w:ascii="宋体" w:hAnsi="宋体" w:cs="仿宋_GB2312"/>
          <w:color w:val="auto"/>
          <w:sz w:val="28"/>
          <w:szCs w:val="28"/>
        </w:rPr>
        <w:t>1）按</w:t>
      </w:r>
      <w:r>
        <w:rPr>
          <w:rFonts w:hint="eastAsia" w:ascii="宋体" w:hAnsi="宋体" w:cs="仿宋_GB2312"/>
          <w:color w:val="auto"/>
          <w:sz w:val="28"/>
          <w:szCs w:val="28"/>
        </w:rPr>
        <w:t>成交原则评审因素和分值对比选报价计算出得分</w:t>
      </w:r>
      <w:r>
        <w:rPr>
          <w:rFonts w:ascii="宋体" w:hAnsi="宋体" w:cs="仿宋_GB2312"/>
          <w:color w:val="auto"/>
          <w:sz w:val="28"/>
          <w:szCs w:val="28"/>
        </w:rPr>
        <w:t xml:space="preserve"> A；</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w:t>
      </w:r>
      <w:r>
        <w:rPr>
          <w:rFonts w:ascii="宋体" w:hAnsi="宋体" w:cs="仿宋_GB2312"/>
          <w:color w:val="auto"/>
          <w:sz w:val="28"/>
          <w:szCs w:val="28"/>
        </w:rPr>
        <w:t>2）按</w:t>
      </w:r>
      <w:r>
        <w:rPr>
          <w:rFonts w:hint="eastAsia" w:ascii="宋体" w:hAnsi="宋体" w:cs="仿宋_GB2312"/>
          <w:color w:val="auto"/>
          <w:sz w:val="28"/>
          <w:szCs w:val="28"/>
        </w:rPr>
        <w:t>成交原则规定的评审因素和分值对技术文件计算出得分</w:t>
      </w:r>
      <w:r>
        <w:rPr>
          <w:rFonts w:ascii="宋体" w:hAnsi="宋体" w:cs="仿宋_GB2312"/>
          <w:color w:val="auto"/>
          <w:sz w:val="28"/>
          <w:szCs w:val="28"/>
        </w:rPr>
        <w:t xml:space="preserve"> B。</w:t>
      </w:r>
    </w:p>
    <w:p>
      <w:pPr>
        <w:snapToGrid w:val="0"/>
        <w:spacing w:line="360" w:lineRule="auto"/>
        <w:ind w:firstLine="546" w:firstLineChars="195"/>
        <w:rPr>
          <w:rFonts w:ascii="宋体" w:hAnsi="宋体" w:cs="仿宋_GB2312"/>
          <w:color w:val="auto"/>
          <w:sz w:val="28"/>
          <w:szCs w:val="28"/>
        </w:rPr>
      </w:pPr>
      <w:r>
        <w:rPr>
          <w:rFonts w:ascii="宋体" w:hAnsi="宋体" w:cs="仿宋_GB2312"/>
          <w:color w:val="auto"/>
          <w:sz w:val="28"/>
          <w:szCs w:val="28"/>
        </w:rPr>
        <w:t xml:space="preserve">4.2 </w:t>
      </w:r>
      <w:r>
        <w:rPr>
          <w:rFonts w:hint="eastAsia" w:ascii="宋体" w:hAnsi="宋体" w:cs="仿宋_GB2312"/>
          <w:color w:val="auto"/>
          <w:sz w:val="28"/>
          <w:szCs w:val="28"/>
        </w:rPr>
        <w:t>所有计算和评分分值计算保留小数点后两位，小数点后第三位“四舍五入”。</w:t>
      </w:r>
    </w:p>
    <w:p>
      <w:pPr>
        <w:snapToGrid w:val="0"/>
        <w:spacing w:line="360" w:lineRule="auto"/>
        <w:ind w:firstLine="546" w:firstLineChars="195"/>
        <w:rPr>
          <w:rFonts w:ascii="宋体" w:hAnsi="宋体" w:cs="仿宋_GB2312"/>
          <w:color w:val="auto"/>
          <w:sz w:val="28"/>
          <w:szCs w:val="28"/>
        </w:rPr>
      </w:pPr>
      <w:r>
        <w:rPr>
          <w:rFonts w:ascii="宋体" w:hAnsi="宋体" w:cs="仿宋_GB2312"/>
          <w:color w:val="auto"/>
          <w:sz w:val="28"/>
          <w:szCs w:val="28"/>
        </w:rPr>
        <w:t>4</w:t>
      </w:r>
      <w:r>
        <w:rPr>
          <w:rFonts w:hint="eastAsia" w:ascii="宋体" w:hAnsi="宋体" w:cs="仿宋_GB2312"/>
          <w:color w:val="auto"/>
          <w:sz w:val="28"/>
          <w:szCs w:val="28"/>
        </w:rPr>
        <w:t>.</w:t>
      </w:r>
      <w:r>
        <w:rPr>
          <w:rFonts w:ascii="宋体" w:hAnsi="宋体" w:cs="仿宋_GB2312"/>
          <w:color w:val="auto"/>
          <w:sz w:val="28"/>
          <w:szCs w:val="28"/>
        </w:rPr>
        <w:t xml:space="preserve">3 </w:t>
      </w:r>
      <w:r>
        <w:rPr>
          <w:rFonts w:hint="eastAsia" w:ascii="宋体" w:hAnsi="宋体" w:cs="仿宋_GB2312"/>
          <w:color w:val="auto"/>
          <w:sz w:val="28"/>
          <w:szCs w:val="28"/>
        </w:rPr>
        <w:t>竞标人得分</w:t>
      </w:r>
      <w:r>
        <w:rPr>
          <w:rFonts w:ascii="宋体" w:hAnsi="宋体" w:cs="仿宋_GB2312"/>
          <w:color w:val="auto"/>
          <w:sz w:val="28"/>
          <w:szCs w:val="28"/>
        </w:rPr>
        <w:t>=A+B。</w:t>
      </w:r>
    </w:p>
    <w:p>
      <w:pPr>
        <w:keepNext/>
        <w:keepLines/>
        <w:spacing w:line="360" w:lineRule="auto"/>
        <w:ind w:firstLine="548" w:firstLineChars="195"/>
        <w:outlineLvl w:val="2"/>
        <w:rPr>
          <w:rFonts w:ascii="宋体" w:hAnsi="宋体" w:cs="仿宋_GB2312"/>
          <w:b/>
          <w:color w:val="auto"/>
          <w:sz w:val="28"/>
          <w:szCs w:val="28"/>
        </w:rPr>
      </w:pPr>
      <w:bookmarkStart w:id="18" w:name="_Toc102227320"/>
      <w:r>
        <w:rPr>
          <w:rFonts w:hint="eastAsia" w:ascii="宋体" w:hAnsi="宋体" w:cs="仿宋_GB2312"/>
          <w:b/>
          <w:color w:val="auto"/>
          <w:sz w:val="28"/>
          <w:szCs w:val="28"/>
        </w:rPr>
        <w:t>六、成交</w:t>
      </w:r>
      <w:bookmarkEnd w:id="18"/>
      <w:r>
        <w:rPr>
          <w:rFonts w:hint="eastAsia" w:ascii="宋体" w:hAnsi="宋体" w:cs="仿宋_GB2312"/>
          <w:b/>
          <w:color w:val="auto"/>
          <w:sz w:val="28"/>
          <w:szCs w:val="28"/>
        </w:rPr>
        <w:t>原则</w:t>
      </w:r>
    </w:p>
    <w:p>
      <w:pPr>
        <w:snapToGrid w:val="0"/>
        <w:spacing w:line="360" w:lineRule="auto"/>
        <w:ind w:firstLine="546" w:firstLineChars="195"/>
        <w:rPr>
          <w:rFonts w:ascii="宋体" w:hAnsi="宋体" w:cs="仿宋_GB2312"/>
          <w:color w:val="auto"/>
          <w:sz w:val="28"/>
          <w:szCs w:val="28"/>
        </w:rPr>
      </w:pPr>
      <w:r>
        <w:rPr>
          <w:rFonts w:ascii="宋体" w:hAnsi="宋体" w:cs="仿宋_GB2312"/>
          <w:color w:val="auto"/>
          <w:sz w:val="28"/>
          <w:szCs w:val="28"/>
        </w:rPr>
        <w:t>6.1</w:t>
      </w:r>
      <w:r>
        <w:rPr>
          <w:rFonts w:hint="eastAsia" w:ascii="宋体" w:hAnsi="宋体" w:cs="仿宋_GB2312"/>
          <w:color w:val="auto"/>
          <w:sz w:val="28"/>
          <w:szCs w:val="28"/>
        </w:rPr>
        <w:t xml:space="preserve"> 评标方法：本项目评审采用综合评估法进行评审， </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6</w:t>
      </w:r>
      <w:r>
        <w:rPr>
          <w:rFonts w:ascii="宋体" w:hAnsi="宋体" w:cs="仿宋_GB2312"/>
          <w:color w:val="auto"/>
          <w:sz w:val="28"/>
          <w:szCs w:val="28"/>
        </w:rPr>
        <w:t>.2</w:t>
      </w:r>
      <w:r>
        <w:rPr>
          <w:rFonts w:hint="eastAsia" w:ascii="宋体" w:hAnsi="宋体" w:cs="仿宋_GB2312"/>
          <w:color w:val="auto"/>
          <w:sz w:val="28"/>
          <w:szCs w:val="28"/>
        </w:rPr>
        <w:t xml:space="preserve"> 分值构成：竞标报价</w:t>
      </w:r>
      <w:r>
        <w:rPr>
          <w:rFonts w:hint="eastAsia" w:ascii="宋体" w:hAnsi="宋体" w:cs="仿宋_GB2312"/>
          <w:color w:val="auto"/>
          <w:sz w:val="28"/>
          <w:szCs w:val="28"/>
          <w:lang w:val="en-US" w:eastAsia="zh-CN"/>
        </w:rPr>
        <w:t>70</w:t>
      </w:r>
      <w:r>
        <w:rPr>
          <w:rFonts w:hint="eastAsia" w:ascii="宋体" w:hAnsi="宋体" w:cs="仿宋_GB2312"/>
          <w:color w:val="auto"/>
          <w:sz w:val="28"/>
          <w:szCs w:val="28"/>
        </w:rPr>
        <w:t>分；技术部分</w:t>
      </w:r>
      <w:r>
        <w:rPr>
          <w:rFonts w:hint="eastAsia" w:ascii="宋体" w:hAnsi="宋体" w:cs="仿宋_GB2312"/>
          <w:color w:val="auto"/>
          <w:sz w:val="28"/>
          <w:szCs w:val="28"/>
          <w:lang w:val="en-US" w:eastAsia="zh-CN"/>
        </w:rPr>
        <w:t>3</w:t>
      </w:r>
      <w:r>
        <w:rPr>
          <w:rFonts w:ascii="宋体" w:hAnsi="宋体" w:cs="仿宋_GB2312"/>
          <w:color w:val="auto"/>
          <w:sz w:val="28"/>
          <w:szCs w:val="28"/>
        </w:rPr>
        <w:t>0</w:t>
      </w:r>
      <w:r>
        <w:rPr>
          <w:rFonts w:hint="eastAsia" w:ascii="宋体" w:hAnsi="宋体" w:cs="仿宋_GB2312"/>
          <w:color w:val="auto"/>
          <w:sz w:val="28"/>
          <w:szCs w:val="28"/>
        </w:rPr>
        <w:t>分。</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6</w:t>
      </w:r>
      <w:r>
        <w:rPr>
          <w:rFonts w:ascii="宋体" w:hAnsi="宋体" w:cs="仿宋_GB2312"/>
          <w:color w:val="auto"/>
          <w:sz w:val="28"/>
          <w:szCs w:val="28"/>
        </w:rPr>
        <w:t>.3</w:t>
      </w:r>
      <w:r>
        <w:rPr>
          <w:rFonts w:hint="eastAsia" w:ascii="宋体" w:hAnsi="宋体" w:cs="仿宋_GB2312"/>
          <w:color w:val="auto"/>
          <w:sz w:val="28"/>
          <w:szCs w:val="28"/>
        </w:rPr>
        <w:t xml:space="preserve"> 比选报价评标基准价计算方法：所有通过初步评审</w:t>
      </w:r>
      <w:r>
        <w:rPr>
          <w:rFonts w:hint="eastAsia" w:ascii="宋体" w:hAnsi="宋体" w:cs="仿宋_GB2312"/>
          <w:color w:val="auto"/>
          <w:sz w:val="28"/>
          <w:szCs w:val="28"/>
          <w:lang w:val="en-US" w:eastAsia="zh-CN"/>
        </w:rPr>
        <w:t>的</w:t>
      </w:r>
      <w:r>
        <w:rPr>
          <w:rFonts w:hint="eastAsia" w:ascii="宋体" w:hAnsi="宋体" w:cs="仿宋_GB2312"/>
          <w:color w:val="auto"/>
          <w:sz w:val="28"/>
          <w:szCs w:val="28"/>
        </w:rPr>
        <w:t>竞标</w:t>
      </w:r>
      <w:r>
        <w:rPr>
          <w:rFonts w:hint="eastAsia" w:ascii="宋体" w:hAnsi="宋体" w:cs="仿宋_GB2312"/>
          <w:color w:val="auto"/>
          <w:sz w:val="28"/>
          <w:szCs w:val="28"/>
          <w:lang w:val="en-US" w:eastAsia="zh-CN"/>
        </w:rPr>
        <w:t>报价</w:t>
      </w:r>
      <w:r>
        <w:rPr>
          <w:rFonts w:hint="eastAsia" w:ascii="宋体" w:hAnsi="宋体" w:cs="仿宋_GB2312"/>
          <w:color w:val="auto"/>
          <w:sz w:val="28"/>
          <w:szCs w:val="28"/>
        </w:rPr>
        <w:t>的算术平均值即为竞标总报价的评标基准价。</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以上计算取小数点后两位，第三位四舍五入。</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6</w:t>
      </w:r>
      <w:r>
        <w:rPr>
          <w:rFonts w:ascii="宋体" w:hAnsi="宋体" w:cs="仿宋_GB2312"/>
          <w:color w:val="auto"/>
          <w:sz w:val="28"/>
          <w:szCs w:val="28"/>
        </w:rPr>
        <w:t>.4</w:t>
      </w:r>
      <w:r>
        <w:rPr>
          <w:rFonts w:hint="eastAsia" w:ascii="宋体" w:hAnsi="宋体" w:cs="仿宋_GB2312"/>
          <w:color w:val="auto"/>
          <w:sz w:val="28"/>
          <w:szCs w:val="28"/>
        </w:rPr>
        <w:t xml:space="preserve"> 竞标总报价（</w:t>
      </w:r>
      <w:r>
        <w:rPr>
          <w:rFonts w:hint="eastAsia" w:ascii="宋体" w:hAnsi="宋体" w:cs="仿宋_GB2312"/>
          <w:color w:val="auto"/>
          <w:sz w:val="28"/>
          <w:szCs w:val="28"/>
          <w:lang w:val="en-US" w:eastAsia="zh-CN"/>
        </w:rPr>
        <w:t>70</w:t>
      </w:r>
      <w:r>
        <w:rPr>
          <w:rFonts w:hint="eastAsia" w:ascii="宋体" w:hAnsi="宋体" w:cs="仿宋_GB2312"/>
          <w:color w:val="auto"/>
          <w:sz w:val="28"/>
          <w:szCs w:val="28"/>
        </w:rPr>
        <w:t>分）：所有通过初步评审的竞标总报价先得</w:t>
      </w:r>
      <w:r>
        <w:rPr>
          <w:rFonts w:hint="eastAsia" w:ascii="宋体" w:hAnsi="宋体" w:cs="仿宋_GB2312"/>
          <w:color w:val="auto"/>
          <w:sz w:val="28"/>
          <w:szCs w:val="28"/>
          <w:lang w:val="en-US" w:eastAsia="zh-CN"/>
        </w:rPr>
        <w:t>70</w:t>
      </w:r>
      <w:r>
        <w:rPr>
          <w:rFonts w:hint="eastAsia" w:ascii="宋体" w:hAnsi="宋体" w:cs="仿宋_GB2312"/>
          <w:color w:val="auto"/>
          <w:sz w:val="28"/>
          <w:szCs w:val="28"/>
        </w:rPr>
        <w:t>分。在此基础上，</w:t>
      </w:r>
      <w:r>
        <w:rPr>
          <w:rFonts w:ascii="宋体" w:hAnsi="宋体" w:cs="仿宋_GB2312"/>
          <w:color w:val="auto"/>
          <w:sz w:val="28"/>
          <w:szCs w:val="28"/>
        </w:rPr>
        <w:t>各有效</w:t>
      </w:r>
      <w:r>
        <w:rPr>
          <w:rFonts w:hint="eastAsia" w:ascii="宋体" w:hAnsi="宋体" w:cs="仿宋_GB2312"/>
          <w:color w:val="auto"/>
          <w:sz w:val="28"/>
          <w:szCs w:val="28"/>
        </w:rPr>
        <w:t>竞</w:t>
      </w:r>
      <w:r>
        <w:rPr>
          <w:rFonts w:ascii="宋体" w:hAnsi="宋体" w:cs="仿宋_GB2312"/>
          <w:color w:val="auto"/>
          <w:sz w:val="28"/>
          <w:szCs w:val="28"/>
        </w:rPr>
        <w:t>标报价分别与评标基准价相比较，每增加1%扣0.</w:t>
      </w:r>
      <w:r>
        <w:rPr>
          <w:rFonts w:hint="eastAsia" w:ascii="宋体" w:hAnsi="宋体" w:cs="仿宋_GB2312"/>
          <w:color w:val="auto"/>
          <w:sz w:val="28"/>
          <w:szCs w:val="28"/>
          <w:lang w:val="en-US" w:eastAsia="zh-CN"/>
        </w:rPr>
        <w:t>2</w:t>
      </w:r>
      <w:r>
        <w:rPr>
          <w:rFonts w:ascii="宋体" w:hAnsi="宋体" w:cs="仿宋_GB2312"/>
          <w:color w:val="auto"/>
          <w:sz w:val="28"/>
          <w:szCs w:val="28"/>
        </w:rPr>
        <w:t>分，每减少1%扣0.</w:t>
      </w:r>
      <w:r>
        <w:rPr>
          <w:rFonts w:hint="eastAsia" w:ascii="宋体" w:hAnsi="宋体" w:cs="仿宋_GB2312"/>
          <w:color w:val="auto"/>
          <w:sz w:val="28"/>
          <w:szCs w:val="28"/>
          <w:lang w:val="en-US" w:eastAsia="zh-CN"/>
        </w:rPr>
        <w:t>1</w:t>
      </w:r>
      <w:r>
        <w:rPr>
          <w:rFonts w:ascii="宋体" w:hAnsi="宋体" w:cs="仿宋_GB2312"/>
          <w:color w:val="auto"/>
          <w:sz w:val="28"/>
          <w:szCs w:val="28"/>
        </w:rPr>
        <w:t>分。</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以上计算按插入法计算得分，取小数点后两位，第三位四舍五入。</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6</w:t>
      </w:r>
      <w:r>
        <w:rPr>
          <w:rFonts w:ascii="宋体" w:hAnsi="宋体" w:cs="仿宋_GB2312"/>
          <w:color w:val="auto"/>
          <w:sz w:val="28"/>
          <w:szCs w:val="28"/>
        </w:rPr>
        <w:t>.</w:t>
      </w:r>
      <w:r>
        <w:rPr>
          <w:rFonts w:hint="eastAsia" w:ascii="宋体" w:hAnsi="宋体" w:cs="仿宋_GB2312"/>
          <w:color w:val="auto"/>
          <w:sz w:val="28"/>
          <w:szCs w:val="28"/>
        </w:rPr>
        <w:t>5 技术部分</w:t>
      </w:r>
      <w:r>
        <w:rPr>
          <w:rFonts w:hint="eastAsia" w:ascii="宋体" w:hAnsi="宋体" w:cs="仿宋_GB2312"/>
          <w:color w:val="auto"/>
          <w:sz w:val="28"/>
          <w:szCs w:val="28"/>
          <w:lang w:val="en-US" w:eastAsia="zh-CN"/>
        </w:rPr>
        <w:t>30</w:t>
      </w:r>
      <w:r>
        <w:rPr>
          <w:rFonts w:hint="eastAsia" w:ascii="宋体" w:hAnsi="宋体" w:cs="仿宋_GB2312"/>
          <w:color w:val="auto"/>
          <w:sz w:val="28"/>
          <w:szCs w:val="28"/>
        </w:rPr>
        <w:t>分：</w:t>
      </w:r>
    </w:p>
    <w:tbl>
      <w:tblPr>
        <w:tblStyle w:val="19"/>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70"/>
        <w:gridCol w:w="4642"/>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36" w:type="dxa"/>
            <w:tcBorders>
              <w:left w:val="single" w:color="auto" w:sz="4" w:space="0"/>
            </w:tcBorders>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序号</w:t>
            </w:r>
          </w:p>
        </w:tc>
        <w:tc>
          <w:tcPr>
            <w:tcW w:w="2370" w:type="dxa"/>
            <w:tcBorders>
              <w:left w:val="single" w:color="auto" w:sz="4" w:space="0"/>
            </w:tcBorders>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评审因素</w:t>
            </w:r>
          </w:p>
        </w:tc>
        <w:tc>
          <w:tcPr>
            <w:tcW w:w="4642" w:type="dxa"/>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评分标准</w:t>
            </w:r>
          </w:p>
        </w:tc>
        <w:tc>
          <w:tcPr>
            <w:tcW w:w="1429" w:type="dxa"/>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36" w:type="dxa"/>
            <w:vAlign w:val="center"/>
          </w:tcPr>
          <w:p>
            <w:pPr>
              <w:snapToGrid w:val="0"/>
              <w:spacing w:line="360" w:lineRule="auto"/>
              <w:jc w:val="center"/>
              <w:rPr>
                <w:rFonts w:ascii="宋体" w:hAnsi="宋体" w:cs="仿宋_GB2312"/>
                <w:color w:val="auto"/>
                <w:sz w:val="24"/>
              </w:rPr>
            </w:pPr>
            <w:r>
              <w:rPr>
                <w:rFonts w:ascii="宋体" w:hAnsi="宋体" w:cs="仿宋_GB2312"/>
                <w:color w:val="auto"/>
                <w:sz w:val="24"/>
              </w:rPr>
              <w:t>1</w:t>
            </w:r>
          </w:p>
        </w:tc>
        <w:tc>
          <w:tcPr>
            <w:tcW w:w="2370" w:type="dxa"/>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lang w:val="en-US" w:eastAsia="zh-CN"/>
              </w:rPr>
              <w:t>监理范围、监理内容</w:t>
            </w:r>
          </w:p>
        </w:tc>
        <w:tc>
          <w:tcPr>
            <w:tcW w:w="4642" w:type="dxa"/>
            <w:vAlign w:val="center"/>
          </w:tcPr>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宋体"/>
                <w:spacing w:val="-9"/>
                <w:sz w:val="21"/>
                <w:szCs w:val="21"/>
                <w:lang w:val="en-US" w:eastAsia="zh-CN"/>
              </w:rPr>
              <w:t>编制要点：监理范围、监理内容；优得2.5分-3分， 良得2分-2.5分，一般得1分-2分，差得0分-</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p>
        </w:tc>
        <w:tc>
          <w:tcPr>
            <w:tcW w:w="1429" w:type="dxa"/>
            <w:vAlign w:val="center"/>
          </w:tcPr>
          <w:p>
            <w:pPr>
              <w:widowControl/>
              <w:snapToGrid w:val="0"/>
              <w:spacing w:line="360" w:lineRule="auto"/>
              <w:jc w:val="center"/>
              <w:rPr>
                <w:rFonts w:ascii="宋体" w:hAnsi="宋体" w:cs="仿宋_GB2312"/>
                <w:color w:val="auto"/>
                <w:sz w:val="24"/>
              </w:rPr>
            </w:pPr>
            <w:r>
              <w:rPr>
                <w:rFonts w:hint="eastAsia" w:ascii="宋体" w:hAnsi="宋体" w:cs="仿宋_GB2312"/>
                <w:color w:val="auto"/>
                <w:sz w:val="24"/>
                <w:lang w:val="en-US" w:eastAsia="zh-CN"/>
              </w:rPr>
              <w:t>3</w:t>
            </w:r>
            <w:r>
              <w:rPr>
                <w:rFonts w:ascii="宋体" w:hAnsi="宋体" w:cs="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36" w:type="dxa"/>
            <w:vAlign w:val="center"/>
          </w:tcPr>
          <w:p>
            <w:pPr>
              <w:snapToGrid w:val="0"/>
              <w:spacing w:line="360" w:lineRule="auto"/>
              <w:jc w:val="center"/>
              <w:rPr>
                <w:rFonts w:ascii="宋体" w:hAnsi="宋体" w:cs="仿宋_GB2312"/>
                <w:color w:val="auto"/>
                <w:sz w:val="24"/>
              </w:rPr>
            </w:pPr>
            <w:r>
              <w:rPr>
                <w:rFonts w:ascii="宋体" w:hAnsi="宋体" w:cs="仿宋_GB2312"/>
                <w:color w:val="auto"/>
                <w:sz w:val="24"/>
              </w:rPr>
              <w:t>2</w:t>
            </w:r>
          </w:p>
        </w:tc>
        <w:tc>
          <w:tcPr>
            <w:tcW w:w="2370" w:type="dxa"/>
            <w:vAlign w:val="center"/>
          </w:tcPr>
          <w:p>
            <w:pPr>
              <w:snapToGrid w:val="0"/>
              <w:spacing w:line="360" w:lineRule="auto"/>
              <w:jc w:val="center"/>
              <w:rPr>
                <w:rFonts w:hint="default" w:ascii="宋体" w:hAnsi="宋体" w:cs="仿宋_GB2312"/>
                <w:color w:val="auto"/>
                <w:sz w:val="24"/>
                <w:lang w:val="en-US" w:eastAsia="zh-CN"/>
              </w:rPr>
            </w:pPr>
            <w:r>
              <w:rPr>
                <w:rFonts w:hint="eastAsia" w:ascii="宋体" w:hAnsi="宋体" w:cs="仿宋_GB2312"/>
                <w:color w:val="auto"/>
                <w:sz w:val="24"/>
                <w:lang w:val="en-US" w:eastAsia="zh-CN"/>
              </w:rPr>
              <w:t>监理机构设置和岗位职责</w:t>
            </w:r>
          </w:p>
        </w:tc>
        <w:tc>
          <w:tcPr>
            <w:tcW w:w="4642" w:type="dxa"/>
            <w:vAlign w:val="center"/>
          </w:tcPr>
          <w:p>
            <w:pPr>
              <w:snapToGrid w:val="0"/>
              <w:spacing w:line="360" w:lineRule="auto"/>
              <w:jc w:val="left"/>
              <w:rPr>
                <w:rFonts w:ascii="宋体" w:hAnsi="宋体" w:cs="仿宋_GB2312"/>
                <w:color w:val="auto"/>
                <w:sz w:val="24"/>
              </w:rPr>
            </w:pPr>
            <w:r>
              <w:rPr>
                <w:rFonts w:hint="eastAsia" w:ascii="宋体" w:hAnsi="宋体" w:eastAsia="宋体" w:cs="宋体"/>
                <w:spacing w:val="-9"/>
                <w:sz w:val="21"/>
                <w:szCs w:val="21"/>
                <w:lang w:val="en-US" w:eastAsia="zh-CN"/>
              </w:rPr>
              <w:t>编制要点：机构设置和岗位职责；优得2.5分-3分，良得2分-2.5分，一般得1分-2分，差得0分-</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p>
        </w:tc>
        <w:tc>
          <w:tcPr>
            <w:tcW w:w="1429" w:type="dxa"/>
            <w:vAlign w:val="center"/>
          </w:tcPr>
          <w:p>
            <w:pPr>
              <w:widowControl/>
              <w:snapToGrid w:val="0"/>
              <w:spacing w:line="360" w:lineRule="auto"/>
              <w:jc w:val="center"/>
              <w:rPr>
                <w:rFonts w:ascii="宋体" w:hAnsi="宋体" w:cs="仿宋_GB2312"/>
                <w:color w:val="auto"/>
                <w:sz w:val="24"/>
              </w:rPr>
            </w:pPr>
            <w:r>
              <w:rPr>
                <w:rFonts w:hint="eastAsia" w:ascii="宋体" w:hAnsi="宋体" w:cs="仿宋_GB2312"/>
                <w:color w:val="auto"/>
                <w:sz w:val="24"/>
                <w:lang w:val="en-US" w:eastAsia="zh-CN"/>
              </w:rPr>
              <w:t>3</w:t>
            </w:r>
            <w:r>
              <w:rPr>
                <w:rFonts w:ascii="宋体" w:hAnsi="宋体" w:cs="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36" w:type="dxa"/>
            <w:vAlign w:val="center"/>
          </w:tcPr>
          <w:p>
            <w:pPr>
              <w:snapToGrid w:val="0"/>
              <w:spacing w:line="360" w:lineRule="auto"/>
              <w:jc w:val="center"/>
              <w:rPr>
                <w:rFonts w:ascii="宋体" w:hAnsi="宋体" w:cs="仿宋_GB2312"/>
                <w:color w:val="auto"/>
                <w:sz w:val="24"/>
              </w:rPr>
            </w:pPr>
            <w:r>
              <w:rPr>
                <w:rFonts w:ascii="宋体" w:hAnsi="宋体" w:cs="仿宋_GB2312"/>
                <w:color w:val="auto"/>
                <w:sz w:val="24"/>
              </w:rPr>
              <w:t>3</w:t>
            </w:r>
          </w:p>
        </w:tc>
        <w:tc>
          <w:tcPr>
            <w:tcW w:w="2370" w:type="dxa"/>
            <w:vAlign w:val="center"/>
          </w:tcPr>
          <w:p>
            <w:pPr>
              <w:snapToGrid w:val="0"/>
              <w:spacing w:line="360" w:lineRule="auto"/>
              <w:jc w:val="center"/>
              <w:rPr>
                <w:rFonts w:hint="default" w:ascii="宋体" w:hAnsi="宋体" w:cs="仿宋_GB2312"/>
                <w:color w:val="auto"/>
                <w:sz w:val="24"/>
                <w:lang w:val="en-US" w:eastAsia="zh-CN"/>
              </w:rPr>
            </w:pPr>
            <w:r>
              <w:rPr>
                <w:rFonts w:hint="eastAsia" w:ascii="宋体" w:hAnsi="宋体" w:cs="仿宋_GB2312"/>
                <w:color w:val="auto"/>
                <w:sz w:val="24"/>
                <w:lang w:val="en-US" w:eastAsia="zh-CN"/>
              </w:rPr>
              <w:t xml:space="preserve"> 监理工作程序、方法和制度</w:t>
            </w:r>
          </w:p>
        </w:tc>
        <w:tc>
          <w:tcPr>
            <w:tcW w:w="4642" w:type="dxa"/>
            <w:vAlign w:val="center"/>
          </w:tcPr>
          <w:p>
            <w:pPr>
              <w:snapToGrid w:val="0"/>
              <w:spacing w:line="360" w:lineRule="auto"/>
              <w:jc w:val="left"/>
              <w:rPr>
                <w:rFonts w:ascii="宋体" w:hAnsi="宋体" w:cs="仿宋_GB2312"/>
                <w:color w:val="auto"/>
                <w:sz w:val="24"/>
              </w:rPr>
            </w:pPr>
            <w:r>
              <w:rPr>
                <w:rFonts w:hint="eastAsia" w:ascii="宋体" w:hAnsi="宋体" w:eastAsia="宋体" w:cs="宋体"/>
                <w:spacing w:val="-9"/>
                <w:sz w:val="21"/>
                <w:szCs w:val="21"/>
                <w:lang w:val="en-US" w:eastAsia="zh-CN"/>
              </w:rPr>
              <w:t>编制要点：监理工作程序、方法和制度；优得2.5分-3分，良得2分-2.5分，一般得</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分，差得0分-</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p>
        </w:tc>
        <w:tc>
          <w:tcPr>
            <w:tcW w:w="1429" w:type="dxa"/>
            <w:vAlign w:val="center"/>
          </w:tcPr>
          <w:p>
            <w:pPr>
              <w:widowControl/>
              <w:snapToGrid w:val="0"/>
              <w:spacing w:line="360" w:lineRule="auto"/>
              <w:jc w:val="center"/>
              <w:rPr>
                <w:rFonts w:ascii="宋体" w:hAnsi="宋体" w:cs="仿宋_GB2312"/>
                <w:color w:val="auto"/>
                <w:sz w:val="24"/>
              </w:rPr>
            </w:pPr>
            <w:r>
              <w:rPr>
                <w:rFonts w:hint="eastAsia" w:ascii="宋体" w:hAnsi="宋体" w:cs="仿宋_GB2312"/>
                <w:color w:val="auto"/>
                <w:sz w:val="24"/>
                <w:lang w:val="en-US" w:eastAsia="zh-CN"/>
              </w:rPr>
              <w:t>3</w:t>
            </w:r>
            <w:r>
              <w:rPr>
                <w:rFonts w:ascii="宋体" w:hAnsi="宋体" w:cs="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36" w:type="dxa"/>
            <w:vAlign w:val="center"/>
          </w:tcPr>
          <w:p>
            <w:pPr>
              <w:snapToGrid w:val="0"/>
              <w:spacing w:line="360" w:lineRule="auto"/>
              <w:jc w:val="center"/>
              <w:rPr>
                <w:rFonts w:ascii="宋体" w:hAnsi="宋体" w:cs="仿宋_GB2312"/>
                <w:color w:val="auto"/>
                <w:sz w:val="24"/>
              </w:rPr>
            </w:pPr>
            <w:r>
              <w:rPr>
                <w:rFonts w:ascii="宋体" w:hAnsi="宋体" w:cs="仿宋_GB2312"/>
                <w:color w:val="auto"/>
                <w:sz w:val="24"/>
              </w:rPr>
              <w:t>4</w:t>
            </w:r>
          </w:p>
        </w:tc>
        <w:tc>
          <w:tcPr>
            <w:tcW w:w="2370" w:type="dxa"/>
            <w:vAlign w:val="center"/>
          </w:tcPr>
          <w:p>
            <w:pPr>
              <w:snapToGrid w:val="0"/>
              <w:spacing w:line="360" w:lineRule="auto"/>
              <w:jc w:val="center"/>
              <w:rPr>
                <w:rFonts w:hint="default" w:ascii="宋体" w:hAnsi="宋体" w:cs="仿宋_GB2312"/>
                <w:color w:val="auto"/>
                <w:sz w:val="24"/>
                <w:lang w:val="en-US" w:eastAsia="zh-CN"/>
              </w:rPr>
            </w:pPr>
            <w:r>
              <w:rPr>
                <w:rFonts w:hint="eastAsia" w:ascii="宋体" w:hAnsi="宋体" w:cs="仿宋_GB2312"/>
                <w:color w:val="auto"/>
                <w:sz w:val="24"/>
                <w:lang w:val="en-US" w:eastAsia="zh-CN"/>
              </w:rPr>
              <w:t>质量、进度、安全、环保监理措施</w:t>
            </w:r>
          </w:p>
        </w:tc>
        <w:tc>
          <w:tcPr>
            <w:tcW w:w="4642" w:type="dxa"/>
            <w:vAlign w:val="center"/>
          </w:tcPr>
          <w:p>
            <w:pPr>
              <w:snapToGrid w:val="0"/>
              <w:spacing w:line="360" w:lineRule="auto"/>
              <w:jc w:val="left"/>
              <w:rPr>
                <w:rFonts w:ascii="宋体" w:hAnsi="宋体" w:cs="仿宋_GB2312"/>
                <w:color w:val="auto"/>
                <w:sz w:val="24"/>
              </w:rPr>
            </w:pPr>
            <w:r>
              <w:rPr>
                <w:rFonts w:hint="eastAsia" w:ascii="宋体" w:hAnsi="宋体" w:eastAsia="宋体" w:cs="宋体"/>
                <w:spacing w:val="-9"/>
                <w:sz w:val="21"/>
                <w:szCs w:val="21"/>
                <w:lang w:val="en-US" w:eastAsia="zh-CN"/>
              </w:rPr>
              <w:t>编制要点：质量、进度、安全、环保监理措施；优得2.5分-</w:t>
            </w:r>
            <w:r>
              <w:rPr>
                <w:rFonts w:hint="eastAsia" w:ascii="宋体" w:hAnsi="宋体" w:cs="宋体"/>
                <w:spacing w:val="-9"/>
                <w:sz w:val="21"/>
                <w:szCs w:val="21"/>
                <w:lang w:val="en-US" w:eastAsia="zh-CN"/>
              </w:rPr>
              <w:t>3</w:t>
            </w:r>
            <w:r>
              <w:rPr>
                <w:rFonts w:hint="eastAsia" w:ascii="宋体" w:hAnsi="宋体" w:eastAsia="宋体" w:cs="宋体"/>
                <w:spacing w:val="-9"/>
                <w:sz w:val="21"/>
                <w:szCs w:val="21"/>
                <w:lang w:val="en-US" w:eastAsia="zh-CN"/>
              </w:rPr>
              <w:t>分，良得</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2.5</w:t>
            </w:r>
            <w:r>
              <w:rPr>
                <w:rFonts w:hint="eastAsia" w:ascii="宋体" w:hAnsi="宋体" w:eastAsia="宋体" w:cs="宋体"/>
                <w:spacing w:val="-9"/>
                <w:sz w:val="21"/>
                <w:szCs w:val="21"/>
                <w:lang w:val="en-US" w:eastAsia="zh-CN"/>
              </w:rPr>
              <w:t>分，一般得</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分，差得0分-</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p>
        </w:tc>
        <w:tc>
          <w:tcPr>
            <w:tcW w:w="1429" w:type="dxa"/>
            <w:vAlign w:val="center"/>
          </w:tcPr>
          <w:p>
            <w:pPr>
              <w:widowControl/>
              <w:snapToGrid w:val="0"/>
              <w:spacing w:line="360" w:lineRule="auto"/>
              <w:jc w:val="center"/>
              <w:rPr>
                <w:rFonts w:ascii="宋体" w:hAnsi="宋体" w:cs="仿宋_GB2312"/>
                <w:color w:val="auto"/>
                <w:sz w:val="24"/>
              </w:rPr>
            </w:pPr>
            <w:r>
              <w:rPr>
                <w:rFonts w:hint="eastAsia" w:ascii="宋体" w:hAnsi="宋体" w:cs="仿宋_GB2312"/>
                <w:color w:val="auto"/>
                <w:sz w:val="24"/>
                <w:lang w:val="en-US" w:eastAsia="zh-CN"/>
              </w:rPr>
              <w:t>3</w:t>
            </w:r>
            <w:r>
              <w:rPr>
                <w:rFonts w:ascii="宋体" w:hAnsi="宋体" w:cs="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36" w:type="dxa"/>
            <w:vAlign w:val="center"/>
          </w:tcPr>
          <w:p>
            <w:pPr>
              <w:snapToGrid w:val="0"/>
              <w:spacing w:line="360" w:lineRule="auto"/>
              <w:jc w:val="center"/>
              <w:rPr>
                <w:rFonts w:ascii="宋体" w:hAnsi="宋体" w:cs="仿宋_GB2312"/>
                <w:color w:val="auto"/>
                <w:sz w:val="24"/>
              </w:rPr>
            </w:pPr>
            <w:r>
              <w:rPr>
                <w:rFonts w:ascii="宋体" w:hAnsi="宋体" w:cs="仿宋_GB2312"/>
                <w:color w:val="auto"/>
                <w:sz w:val="24"/>
              </w:rPr>
              <w:t>5</w:t>
            </w:r>
          </w:p>
        </w:tc>
        <w:tc>
          <w:tcPr>
            <w:tcW w:w="2370" w:type="dxa"/>
            <w:vAlign w:val="center"/>
          </w:tcPr>
          <w:p>
            <w:pPr>
              <w:snapToGrid w:val="0"/>
              <w:spacing w:line="360" w:lineRule="auto"/>
              <w:jc w:val="center"/>
              <w:rPr>
                <w:rFonts w:hint="eastAsia" w:ascii="宋体" w:hAnsi="宋体" w:cs="仿宋_GB2312"/>
                <w:color w:val="auto"/>
                <w:sz w:val="24"/>
                <w:lang w:val="en-US" w:eastAsia="zh-CN"/>
              </w:rPr>
            </w:pPr>
            <w:r>
              <w:rPr>
                <w:rFonts w:hint="eastAsia" w:ascii="宋体" w:hAnsi="宋体" w:cs="仿宋_GB2312"/>
                <w:color w:val="auto"/>
                <w:sz w:val="24"/>
                <w:lang w:val="en-US" w:eastAsia="zh-CN"/>
              </w:rPr>
              <w:t>监理组织协调内容及措施</w:t>
            </w:r>
          </w:p>
        </w:tc>
        <w:tc>
          <w:tcPr>
            <w:tcW w:w="4642" w:type="dxa"/>
            <w:vAlign w:val="center"/>
          </w:tcPr>
          <w:p>
            <w:pPr>
              <w:snapToGrid w:val="0"/>
              <w:spacing w:line="360" w:lineRule="auto"/>
              <w:jc w:val="left"/>
              <w:rPr>
                <w:rFonts w:ascii="宋体" w:hAnsi="宋体" w:cs="仿宋_GB2312"/>
                <w:color w:val="auto"/>
                <w:sz w:val="24"/>
              </w:rPr>
            </w:pPr>
            <w:r>
              <w:rPr>
                <w:rFonts w:hint="eastAsia" w:ascii="宋体" w:hAnsi="宋体" w:eastAsia="宋体" w:cs="宋体"/>
                <w:spacing w:val="-9"/>
                <w:sz w:val="21"/>
                <w:szCs w:val="21"/>
                <w:lang w:val="en-US" w:eastAsia="zh-CN"/>
              </w:rPr>
              <w:t>编制要点：监理组织协调内容及措施；优得</w:t>
            </w:r>
            <w:r>
              <w:rPr>
                <w:rFonts w:hint="eastAsia" w:ascii="宋体" w:hAnsi="宋体" w:cs="宋体"/>
                <w:spacing w:val="-9"/>
                <w:sz w:val="21"/>
                <w:szCs w:val="21"/>
                <w:lang w:val="en-US" w:eastAsia="zh-CN"/>
              </w:rPr>
              <w:t>3</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4</w:t>
            </w:r>
            <w:r>
              <w:rPr>
                <w:rFonts w:hint="eastAsia" w:ascii="宋体" w:hAnsi="宋体" w:eastAsia="宋体" w:cs="宋体"/>
                <w:spacing w:val="-9"/>
                <w:sz w:val="21"/>
                <w:szCs w:val="21"/>
                <w:lang w:val="en-US" w:eastAsia="zh-CN"/>
              </w:rPr>
              <w:t>分， 良得</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3</w:t>
            </w:r>
            <w:r>
              <w:rPr>
                <w:rFonts w:hint="eastAsia" w:ascii="宋体" w:hAnsi="宋体" w:eastAsia="宋体" w:cs="宋体"/>
                <w:spacing w:val="-9"/>
                <w:sz w:val="21"/>
                <w:szCs w:val="21"/>
                <w:lang w:val="en-US" w:eastAsia="zh-CN"/>
              </w:rPr>
              <w:t>分，一般得</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分，差得0分-</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p>
        </w:tc>
        <w:tc>
          <w:tcPr>
            <w:tcW w:w="1429" w:type="dxa"/>
            <w:vAlign w:val="center"/>
          </w:tcPr>
          <w:p>
            <w:pPr>
              <w:widowControl/>
              <w:snapToGrid w:val="0"/>
              <w:spacing w:line="360" w:lineRule="auto"/>
              <w:jc w:val="center"/>
              <w:rPr>
                <w:rFonts w:ascii="宋体" w:hAnsi="宋体" w:cs="仿宋_GB2312"/>
                <w:color w:val="auto"/>
                <w:sz w:val="24"/>
              </w:rPr>
            </w:pPr>
            <w:r>
              <w:rPr>
                <w:rFonts w:hint="eastAsia" w:ascii="宋体" w:hAnsi="宋体" w:cs="仿宋_GB2312"/>
                <w:color w:val="auto"/>
                <w:sz w:val="24"/>
                <w:lang w:val="en-US" w:eastAsia="zh-CN"/>
              </w:rPr>
              <w:t>4</w:t>
            </w:r>
            <w:r>
              <w:rPr>
                <w:rFonts w:ascii="宋体" w:hAnsi="宋体" w:cs="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36"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6</w:t>
            </w:r>
          </w:p>
        </w:tc>
        <w:tc>
          <w:tcPr>
            <w:tcW w:w="2370" w:type="dxa"/>
            <w:vAlign w:val="center"/>
          </w:tcPr>
          <w:p>
            <w:pPr>
              <w:snapToGrid w:val="0"/>
              <w:spacing w:line="360" w:lineRule="auto"/>
              <w:jc w:val="center"/>
              <w:rPr>
                <w:rFonts w:hint="eastAsia" w:ascii="宋体" w:hAnsi="宋体" w:cs="仿宋_GB2312"/>
                <w:color w:val="auto"/>
                <w:sz w:val="24"/>
                <w:lang w:val="en-US" w:eastAsia="zh-CN"/>
              </w:rPr>
            </w:pPr>
            <w:r>
              <w:rPr>
                <w:rFonts w:hint="eastAsia" w:ascii="宋体" w:hAnsi="宋体" w:cs="仿宋_GB2312"/>
                <w:color w:val="auto"/>
                <w:sz w:val="24"/>
                <w:lang w:val="en-US" w:eastAsia="zh-CN"/>
              </w:rPr>
              <w:t>监理工作重点、难点分析</w:t>
            </w:r>
          </w:p>
        </w:tc>
        <w:tc>
          <w:tcPr>
            <w:tcW w:w="4642" w:type="dxa"/>
            <w:vAlign w:val="center"/>
          </w:tcPr>
          <w:p>
            <w:pPr>
              <w:snapToGrid w:val="0"/>
              <w:spacing w:line="360" w:lineRule="auto"/>
              <w:jc w:val="left"/>
              <w:rPr>
                <w:rFonts w:hint="eastAsia" w:ascii="宋体" w:hAnsi="宋体" w:cs="仿宋_GB2312"/>
                <w:color w:val="auto"/>
                <w:sz w:val="24"/>
              </w:rPr>
            </w:pPr>
            <w:r>
              <w:rPr>
                <w:rFonts w:hint="eastAsia" w:ascii="宋体" w:hAnsi="宋体" w:eastAsia="宋体" w:cs="宋体"/>
                <w:spacing w:val="-9"/>
                <w:sz w:val="21"/>
                <w:szCs w:val="21"/>
                <w:lang w:val="en-US" w:eastAsia="zh-CN"/>
              </w:rPr>
              <w:t>编制要点：监理工作重点、难点分析；优得4分-5分，良得3分-4分，一般得2分-3分，差得0分-2分。</w:t>
            </w:r>
          </w:p>
        </w:tc>
        <w:tc>
          <w:tcPr>
            <w:tcW w:w="1429" w:type="dxa"/>
            <w:vAlign w:val="center"/>
          </w:tcPr>
          <w:p>
            <w:pPr>
              <w:widowControl/>
              <w:snapToGrid w:val="0"/>
              <w:spacing w:line="360" w:lineRule="auto"/>
              <w:jc w:val="center"/>
              <w:rPr>
                <w:rFonts w:hint="default" w:ascii="宋体" w:hAnsi="宋体" w:cs="仿宋_GB2312"/>
                <w:color w:val="auto"/>
                <w:sz w:val="24"/>
                <w:lang w:val="en-US" w:eastAsia="zh-CN"/>
              </w:rPr>
            </w:pPr>
            <w:r>
              <w:rPr>
                <w:rFonts w:hint="eastAsia" w:ascii="宋体" w:hAnsi="宋体" w:cs="仿宋_GB2312"/>
                <w:color w:val="auto"/>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836"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7</w:t>
            </w:r>
          </w:p>
        </w:tc>
        <w:tc>
          <w:tcPr>
            <w:tcW w:w="2370" w:type="dxa"/>
            <w:vAlign w:val="center"/>
          </w:tcPr>
          <w:p>
            <w:pPr>
              <w:snapToGrid w:val="0"/>
              <w:spacing w:line="360" w:lineRule="auto"/>
              <w:jc w:val="center"/>
              <w:rPr>
                <w:rFonts w:hint="eastAsia" w:ascii="宋体" w:hAnsi="宋体" w:cs="仿宋_GB2312"/>
                <w:color w:val="auto"/>
                <w:sz w:val="24"/>
                <w:lang w:val="en-US" w:eastAsia="zh-CN"/>
              </w:rPr>
            </w:pPr>
            <w:r>
              <w:rPr>
                <w:rFonts w:hint="eastAsia" w:ascii="宋体" w:hAnsi="宋体" w:cs="仿宋_GB2312"/>
                <w:color w:val="auto"/>
                <w:sz w:val="24"/>
                <w:lang w:val="en-US" w:eastAsia="zh-CN"/>
              </w:rPr>
              <w:t>合理化建议</w:t>
            </w:r>
          </w:p>
        </w:tc>
        <w:tc>
          <w:tcPr>
            <w:tcW w:w="4642" w:type="dxa"/>
            <w:vAlign w:val="center"/>
          </w:tcPr>
          <w:p>
            <w:pPr>
              <w:snapToGrid w:val="0"/>
              <w:spacing w:line="360" w:lineRule="auto"/>
              <w:jc w:val="left"/>
              <w:rPr>
                <w:rFonts w:hint="eastAsia" w:ascii="宋体" w:hAnsi="宋体" w:cs="仿宋_GB2312"/>
                <w:color w:val="auto"/>
                <w:sz w:val="24"/>
              </w:rPr>
            </w:pPr>
            <w:r>
              <w:rPr>
                <w:rFonts w:hint="eastAsia" w:ascii="宋体" w:hAnsi="宋体" w:eastAsia="宋体" w:cs="宋体"/>
                <w:spacing w:val="-9"/>
                <w:sz w:val="21"/>
                <w:szCs w:val="21"/>
                <w:lang w:val="en-US" w:eastAsia="zh-CN"/>
              </w:rPr>
              <w:t>编制要点：合理化建议；优得3分-</w:t>
            </w:r>
            <w:r>
              <w:rPr>
                <w:rFonts w:hint="eastAsia" w:ascii="宋体" w:hAnsi="宋体" w:cs="宋体"/>
                <w:spacing w:val="-9"/>
                <w:sz w:val="21"/>
                <w:szCs w:val="21"/>
                <w:lang w:val="en-US" w:eastAsia="zh-CN"/>
              </w:rPr>
              <w:t>4</w:t>
            </w:r>
            <w:r>
              <w:rPr>
                <w:rFonts w:hint="eastAsia" w:ascii="宋体" w:hAnsi="宋体" w:eastAsia="宋体" w:cs="宋体"/>
                <w:spacing w:val="-9"/>
                <w:sz w:val="21"/>
                <w:szCs w:val="21"/>
                <w:lang w:val="en-US" w:eastAsia="zh-CN"/>
              </w:rPr>
              <w:t>分， 良得</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3</w:t>
            </w:r>
            <w:r>
              <w:rPr>
                <w:rFonts w:hint="eastAsia" w:ascii="宋体" w:hAnsi="宋体" w:eastAsia="宋体" w:cs="宋体"/>
                <w:spacing w:val="-9"/>
                <w:sz w:val="21"/>
                <w:szCs w:val="21"/>
                <w:lang w:val="en-US" w:eastAsia="zh-CN"/>
              </w:rPr>
              <w:t>分，一般得</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r>
              <w:rPr>
                <w:rFonts w:hint="eastAsia" w:ascii="宋体" w:hAnsi="宋体" w:cs="宋体"/>
                <w:spacing w:val="-9"/>
                <w:sz w:val="21"/>
                <w:szCs w:val="21"/>
                <w:lang w:val="en-US" w:eastAsia="zh-CN"/>
              </w:rPr>
              <w:t>2</w:t>
            </w:r>
            <w:r>
              <w:rPr>
                <w:rFonts w:hint="eastAsia" w:ascii="宋体" w:hAnsi="宋体" w:eastAsia="宋体" w:cs="宋体"/>
                <w:spacing w:val="-9"/>
                <w:sz w:val="21"/>
                <w:szCs w:val="21"/>
                <w:lang w:val="en-US" w:eastAsia="zh-CN"/>
              </w:rPr>
              <w:t>分，差得0分-</w:t>
            </w:r>
            <w:r>
              <w:rPr>
                <w:rFonts w:hint="eastAsia" w:ascii="宋体" w:hAnsi="宋体" w:cs="宋体"/>
                <w:spacing w:val="-9"/>
                <w:sz w:val="21"/>
                <w:szCs w:val="21"/>
                <w:lang w:val="en-US" w:eastAsia="zh-CN"/>
              </w:rPr>
              <w:t>1</w:t>
            </w:r>
            <w:r>
              <w:rPr>
                <w:rFonts w:hint="eastAsia" w:ascii="宋体" w:hAnsi="宋体" w:eastAsia="宋体" w:cs="宋体"/>
                <w:spacing w:val="-9"/>
                <w:sz w:val="21"/>
                <w:szCs w:val="21"/>
                <w:lang w:val="en-US" w:eastAsia="zh-CN"/>
              </w:rPr>
              <w:t>分。</w:t>
            </w:r>
          </w:p>
        </w:tc>
        <w:tc>
          <w:tcPr>
            <w:tcW w:w="1429" w:type="dxa"/>
            <w:vAlign w:val="center"/>
          </w:tcPr>
          <w:p>
            <w:pPr>
              <w:widowControl/>
              <w:snapToGrid w:val="0"/>
              <w:spacing w:line="360" w:lineRule="auto"/>
              <w:jc w:val="center"/>
              <w:rPr>
                <w:rFonts w:hint="eastAsia" w:ascii="宋体" w:hAnsi="宋体" w:cs="仿宋_GB2312"/>
                <w:color w:val="auto"/>
                <w:sz w:val="24"/>
                <w:lang w:val="en-US" w:eastAsia="zh-CN"/>
              </w:rPr>
            </w:pPr>
            <w:r>
              <w:rPr>
                <w:rFonts w:hint="eastAsia" w:ascii="宋体" w:hAnsi="宋体" w:cs="仿宋_GB2312"/>
                <w:color w:val="auto"/>
                <w:sz w:val="24"/>
                <w:lang w:val="en-US" w:eastAsia="zh-CN"/>
              </w:rPr>
              <w:t>4</w:t>
            </w:r>
            <w:r>
              <w:rPr>
                <w:rFonts w:ascii="宋体" w:hAnsi="宋体" w:cs="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36"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8</w:t>
            </w:r>
          </w:p>
        </w:tc>
        <w:tc>
          <w:tcPr>
            <w:tcW w:w="2370" w:type="dxa"/>
            <w:vAlign w:val="center"/>
          </w:tcPr>
          <w:p>
            <w:pPr>
              <w:snapToGrid w:val="0"/>
              <w:spacing w:line="360" w:lineRule="auto"/>
              <w:jc w:val="center"/>
              <w:rPr>
                <w:rFonts w:hint="eastAsia" w:ascii="宋体" w:hAnsi="宋体" w:cs="仿宋_GB2312"/>
                <w:color w:val="auto"/>
                <w:sz w:val="24"/>
                <w:lang w:val="en-US" w:eastAsia="zh-CN"/>
              </w:rPr>
            </w:pPr>
            <w:r>
              <w:rPr>
                <w:rFonts w:hint="eastAsia" w:ascii="宋体" w:hAnsi="宋体" w:cs="仿宋_GB2312"/>
                <w:color w:val="auto"/>
                <w:sz w:val="24"/>
                <w:lang w:val="en-US" w:eastAsia="zh-CN"/>
              </w:rPr>
              <w:t>关键部位的旁站监理方案</w:t>
            </w:r>
          </w:p>
        </w:tc>
        <w:tc>
          <w:tcPr>
            <w:tcW w:w="4642" w:type="dxa"/>
            <w:vAlign w:val="center"/>
          </w:tcPr>
          <w:p>
            <w:pPr>
              <w:tabs>
                <w:tab w:val="left" w:pos="748"/>
              </w:tabs>
              <w:spacing w:before="141" w:line="220" w:lineRule="auto"/>
              <w:rPr>
                <w:rFonts w:hint="eastAsia" w:ascii="宋体" w:hAnsi="宋体" w:cs="仿宋_GB2312"/>
                <w:color w:val="auto"/>
                <w:sz w:val="24"/>
              </w:rPr>
            </w:pPr>
            <w:r>
              <w:rPr>
                <w:rFonts w:hint="eastAsia" w:ascii="宋体" w:hAnsi="宋体" w:eastAsia="宋体" w:cs="宋体"/>
                <w:spacing w:val="-9"/>
                <w:sz w:val="21"/>
                <w:szCs w:val="21"/>
                <w:lang w:val="en-US" w:eastAsia="zh-CN"/>
              </w:rPr>
              <w:t>编制要点：关键部位的旁站监理方案；优得4分-5分， 良得3分-4分， 一般得2分-3分，差得0分-2分。</w:t>
            </w:r>
          </w:p>
        </w:tc>
        <w:tc>
          <w:tcPr>
            <w:tcW w:w="1429" w:type="dxa"/>
            <w:vAlign w:val="center"/>
          </w:tcPr>
          <w:p>
            <w:pPr>
              <w:widowControl/>
              <w:snapToGrid w:val="0"/>
              <w:spacing w:line="360" w:lineRule="auto"/>
              <w:jc w:val="center"/>
              <w:rPr>
                <w:rFonts w:hint="eastAsia" w:ascii="宋体" w:hAnsi="宋体" w:cs="仿宋_GB2312"/>
                <w:color w:val="auto"/>
                <w:sz w:val="24"/>
                <w:lang w:val="en-US" w:eastAsia="zh-CN"/>
              </w:rPr>
            </w:pPr>
            <w:r>
              <w:rPr>
                <w:rFonts w:hint="eastAsia" w:ascii="宋体" w:hAnsi="宋体" w:cs="仿宋_GB2312"/>
                <w:color w:val="auto"/>
                <w:sz w:val="24"/>
                <w:lang w:val="en-US" w:eastAsia="zh-CN"/>
              </w:rPr>
              <w:t>5</w:t>
            </w:r>
            <w:r>
              <w:rPr>
                <w:rFonts w:ascii="宋体" w:hAnsi="宋体" w:cs="仿宋_GB2312"/>
                <w:color w:val="auto"/>
                <w:sz w:val="24"/>
              </w:rPr>
              <w:t>分</w:t>
            </w:r>
          </w:p>
        </w:tc>
      </w:tr>
    </w:tbl>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6</w:t>
      </w:r>
      <w:r>
        <w:rPr>
          <w:rFonts w:ascii="宋体" w:hAnsi="宋体" w:cs="仿宋_GB2312"/>
          <w:color w:val="auto"/>
          <w:sz w:val="28"/>
          <w:szCs w:val="28"/>
        </w:rPr>
        <w:t>.</w:t>
      </w:r>
      <w:r>
        <w:rPr>
          <w:rFonts w:hint="eastAsia" w:ascii="宋体" w:hAnsi="宋体" w:cs="仿宋_GB2312"/>
          <w:color w:val="auto"/>
          <w:sz w:val="28"/>
          <w:szCs w:val="28"/>
        </w:rPr>
        <w:t>6竞标人得分：竞标人得分=A+B。</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6.7评审依据：</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评审的依据为竞标文件，比选小组判断竞标文件对竞争性比选文件的响应仅基于竞标文件本身而不靠外部证据。</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6.8 出现以下情况之一的，作为比选失败处理，应重新组织比选：</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（1）出现影响比选公正的违法、违规行为；</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（2）竞标人的报价均超过了最高限价；</w:t>
      </w:r>
    </w:p>
    <w:p>
      <w:pPr>
        <w:snapToGrid w:val="0"/>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（3）因不可抗力导致重大变故，比选任务取消的。</w:t>
      </w:r>
    </w:p>
    <w:p>
      <w:pPr>
        <w:keepNext/>
        <w:keepLines/>
        <w:spacing w:line="360" w:lineRule="auto"/>
        <w:ind w:firstLine="548" w:firstLineChars="195"/>
        <w:outlineLvl w:val="2"/>
        <w:rPr>
          <w:rFonts w:ascii="宋体" w:hAnsi="宋体" w:cs="仿宋_GB2312"/>
          <w:b/>
          <w:color w:val="auto"/>
          <w:sz w:val="28"/>
          <w:szCs w:val="28"/>
        </w:rPr>
      </w:pPr>
      <w:bookmarkStart w:id="19" w:name="_Toc102227322"/>
      <w:r>
        <w:rPr>
          <w:rFonts w:hint="eastAsia" w:ascii="宋体" w:hAnsi="宋体" w:cs="仿宋_GB2312"/>
          <w:b/>
          <w:color w:val="auto"/>
          <w:sz w:val="28"/>
          <w:szCs w:val="28"/>
        </w:rPr>
        <w:t>七、签订</w:t>
      </w:r>
      <w:bookmarkEnd w:id="19"/>
      <w:r>
        <w:rPr>
          <w:rFonts w:hint="eastAsia" w:ascii="宋体" w:hAnsi="宋体" w:cs="仿宋_GB2312"/>
          <w:b/>
          <w:color w:val="auto"/>
          <w:sz w:val="28"/>
          <w:szCs w:val="28"/>
        </w:rPr>
        <w:t>合同</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1、竞争性比选文件、成交单位的竞标文件，均为签订合同的依据。</w:t>
      </w:r>
    </w:p>
    <w:p>
      <w:pPr>
        <w:snapToGrid w:val="0"/>
        <w:spacing w:line="360" w:lineRule="auto"/>
        <w:ind w:firstLine="546" w:firstLineChars="195"/>
        <w:rPr>
          <w:rFonts w:ascii="宋体" w:hAnsi="宋体" w:cs="仿宋_GB2312"/>
          <w:color w:val="auto"/>
          <w:sz w:val="28"/>
          <w:szCs w:val="28"/>
        </w:rPr>
      </w:pPr>
      <w:r>
        <w:rPr>
          <w:rFonts w:hint="eastAsia" w:ascii="宋体" w:hAnsi="宋体" w:cs="仿宋_GB2312"/>
          <w:color w:val="auto"/>
          <w:sz w:val="28"/>
          <w:szCs w:val="28"/>
        </w:rPr>
        <w:t>2、如成交单位放弃成交项目，发包人将取消其成交资格。</w:t>
      </w: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480" w:firstLineChars="200"/>
        <w:rPr>
          <w:rFonts w:ascii="宋体" w:hAnsi="宋体"/>
          <w:color w:val="auto"/>
          <w:sz w:val="24"/>
          <w:szCs w:val="28"/>
        </w:rPr>
      </w:pPr>
    </w:p>
    <w:p>
      <w:pPr>
        <w:spacing w:line="360" w:lineRule="auto"/>
        <w:ind w:firstLine="562" w:firstLineChars="200"/>
        <w:rPr>
          <w:rFonts w:hint="eastAsia" w:ascii="宋体" w:hAnsi="宋体"/>
          <w:b/>
          <w:color w:val="auto"/>
          <w:sz w:val="28"/>
          <w:szCs w:val="28"/>
        </w:rPr>
      </w:pPr>
    </w:p>
    <w:p>
      <w:pPr>
        <w:pStyle w:val="2"/>
        <w:spacing w:before="0" w:after="0" w:line="360" w:lineRule="auto"/>
        <w:jc w:val="center"/>
        <w:rPr>
          <w:rFonts w:ascii="宋体" w:hAnsi="宋体" w:eastAsia="宋体"/>
          <w:color w:val="auto"/>
          <w:sz w:val="36"/>
        </w:rPr>
      </w:pPr>
      <w:bookmarkStart w:id="20" w:name="_Toc9150"/>
      <w:r>
        <w:rPr>
          <w:rFonts w:hint="eastAsia" w:ascii="宋体" w:hAnsi="宋体" w:eastAsia="宋体"/>
          <w:color w:val="auto"/>
          <w:sz w:val="36"/>
        </w:rPr>
        <w:t>第</w:t>
      </w:r>
      <w:r>
        <w:rPr>
          <w:rFonts w:hint="eastAsia" w:ascii="宋体" w:hAnsi="宋体" w:eastAsia="宋体"/>
          <w:color w:val="auto"/>
          <w:sz w:val="36"/>
          <w:lang w:val="en-US" w:eastAsia="zh-CN"/>
        </w:rPr>
        <w:t>三</w:t>
      </w:r>
      <w:r>
        <w:rPr>
          <w:rFonts w:hint="eastAsia" w:ascii="宋体" w:hAnsi="宋体" w:eastAsia="宋体"/>
          <w:color w:val="auto"/>
          <w:sz w:val="36"/>
        </w:rPr>
        <w:t>部分  商务条款</w:t>
      </w:r>
      <w:bookmarkEnd w:id="20"/>
    </w:p>
    <w:p>
      <w:pPr>
        <w:spacing w:line="360" w:lineRule="auto"/>
        <w:ind w:firstLine="540" w:firstLineChars="192"/>
        <w:rPr>
          <w:rFonts w:ascii="宋体" w:hAnsi="宋体"/>
          <w:b/>
          <w:bCs/>
          <w:color w:val="auto"/>
          <w:sz w:val="28"/>
          <w:szCs w:val="28"/>
        </w:rPr>
      </w:pPr>
      <w:r>
        <w:rPr>
          <w:rFonts w:hint="eastAsia" w:ascii="宋体" w:hAnsi="宋体"/>
          <w:b/>
          <w:bCs/>
          <w:color w:val="auto"/>
          <w:sz w:val="28"/>
          <w:szCs w:val="28"/>
        </w:rPr>
        <w:t>一、</w:t>
      </w:r>
      <w:r>
        <w:rPr>
          <w:rFonts w:hint="eastAsia" w:ascii="宋体" w:hAnsi="宋体"/>
          <w:b/>
          <w:bCs/>
          <w:color w:val="auto"/>
          <w:sz w:val="28"/>
          <w:szCs w:val="28"/>
          <w:lang w:val="en-US" w:eastAsia="zh-CN"/>
        </w:rPr>
        <w:t>监理周期</w:t>
      </w:r>
      <w:r>
        <w:rPr>
          <w:rFonts w:hint="eastAsia" w:ascii="宋体" w:hAnsi="宋体"/>
          <w:b/>
          <w:bCs/>
          <w:color w:val="auto"/>
          <w:sz w:val="28"/>
          <w:szCs w:val="28"/>
        </w:rPr>
        <w:t>要求</w:t>
      </w:r>
    </w:p>
    <w:p>
      <w:pPr>
        <w:pStyle w:val="6"/>
        <w:spacing w:after="0" w:line="360" w:lineRule="auto"/>
        <w:ind w:firstLine="560" w:firstLineChars="200"/>
        <w:rPr>
          <w:rFonts w:ascii="宋体" w:hAnsi="宋体" w:cs="宋体"/>
          <w:b/>
          <w:color w:val="auto"/>
          <w:sz w:val="28"/>
          <w:szCs w:val="28"/>
          <w:u w:val="wave"/>
        </w:rPr>
      </w:pPr>
      <w:bookmarkStart w:id="21" w:name="_Toc403569791"/>
      <w:bookmarkStart w:id="22" w:name="_Toc344475121"/>
      <w:r>
        <w:rPr>
          <w:rFonts w:hint="eastAsia" w:ascii="宋体" w:hAnsi="宋体" w:cs="宋体"/>
          <w:b w:val="0"/>
          <w:bCs w:val="0"/>
          <w:color w:val="auto"/>
          <w:sz w:val="28"/>
          <w:szCs w:val="28"/>
          <w:lang w:val="en-US" w:eastAsia="zh-CN"/>
        </w:rPr>
        <w:t>从线路工程</w:t>
      </w:r>
      <w:r>
        <w:rPr>
          <w:rFonts w:hint="eastAsia" w:ascii="宋体" w:hAnsi="宋体" w:cs="仿宋_GB2312"/>
          <w:color w:val="auto"/>
          <w:sz w:val="28"/>
          <w:szCs w:val="28"/>
          <w:lang w:val="en-US" w:eastAsia="zh-CN"/>
        </w:rPr>
        <w:t>、</w:t>
      </w:r>
      <w:r>
        <w:rPr>
          <w:rFonts w:hint="eastAsia" w:ascii="宋体" w:hAnsi="宋体" w:cs="宋体"/>
          <w:b w:val="0"/>
          <w:bCs w:val="0"/>
          <w:color w:val="auto"/>
          <w:sz w:val="28"/>
          <w:szCs w:val="28"/>
          <w:lang w:val="en-US" w:eastAsia="zh-CN"/>
        </w:rPr>
        <w:t>配电房土建主体施工开始至保修期结束</w:t>
      </w:r>
      <w:r>
        <w:rPr>
          <w:rFonts w:hint="eastAsia" w:ascii="宋体" w:hAnsi="宋体" w:cs="宋体"/>
          <w:b/>
          <w:color w:val="auto"/>
          <w:sz w:val="28"/>
          <w:szCs w:val="28"/>
          <w:u w:val="none"/>
        </w:rPr>
        <w:t>。</w:t>
      </w:r>
    </w:p>
    <w:p>
      <w:pPr>
        <w:spacing w:line="360" w:lineRule="auto"/>
        <w:ind w:firstLine="540" w:firstLineChars="192"/>
        <w:rPr>
          <w:rFonts w:ascii="宋体" w:hAnsi="宋体"/>
          <w:b/>
          <w:bCs/>
          <w:color w:val="auto"/>
          <w:sz w:val="28"/>
          <w:szCs w:val="28"/>
        </w:rPr>
      </w:pPr>
      <w:r>
        <w:rPr>
          <w:rFonts w:hint="eastAsia" w:ascii="宋体" w:hAnsi="宋体"/>
          <w:b/>
          <w:bCs/>
          <w:color w:val="auto"/>
          <w:sz w:val="28"/>
          <w:szCs w:val="28"/>
        </w:rPr>
        <w:t>二、</w:t>
      </w:r>
      <w:bookmarkEnd w:id="21"/>
      <w:bookmarkEnd w:id="22"/>
      <w:r>
        <w:rPr>
          <w:rFonts w:hint="eastAsia" w:ascii="宋体" w:hAnsi="宋体"/>
          <w:b/>
          <w:bCs/>
          <w:color w:val="auto"/>
          <w:sz w:val="28"/>
          <w:szCs w:val="28"/>
          <w:lang w:val="en-US" w:eastAsia="zh-CN"/>
        </w:rPr>
        <w:t>监理</w:t>
      </w:r>
      <w:r>
        <w:rPr>
          <w:rFonts w:hint="eastAsia" w:ascii="宋体" w:hAnsi="宋体"/>
          <w:b/>
          <w:bCs/>
          <w:color w:val="auto"/>
          <w:sz w:val="28"/>
          <w:szCs w:val="28"/>
        </w:rPr>
        <w:t>要求</w:t>
      </w:r>
    </w:p>
    <w:p>
      <w:pPr>
        <w:spacing w:line="360" w:lineRule="auto"/>
        <w:ind w:firstLine="560" w:firstLineChars="200"/>
        <w:rPr>
          <w:rFonts w:ascii="宋体" w:hAnsi="宋体"/>
          <w:color w:val="auto"/>
          <w:sz w:val="28"/>
          <w:szCs w:val="28"/>
        </w:rPr>
      </w:pPr>
      <w:r>
        <w:rPr>
          <w:rFonts w:hint="eastAsia" w:ascii="宋体" w:hAnsi="宋体"/>
          <w:color w:val="auto"/>
          <w:sz w:val="28"/>
          <w:szCs w:val="28"/>
        </w:rPr>
        <w:t>符合国家、重庆市现行相关技术标准、规范、规程等相关要求。</w:t>
      </w:r>
    </w:p>
    <w:p>
      <w:pPr>
        <w:spacing w:line="360" w:lineRule="auto"/>
        <w:ind w:firstLine="540" w:firstLineChars="192"/>
        <w:rPr>
          <w:rFonts w:ascii="宋体" w:hAnsi="宋体"/>
          <w:b/>
          <w:bCs/>
          <w:color w:val="auto"/>
          <w:sz w:val="28"/>
          <w:szCs w:val="28"/>
        </w:rPr>
      </w:pPr>
      <w:r>
        <w:rPr>
          <w:rFonts w:hint="eastAsia" w:ascii="宋体" w:hAnsi="宋体"/>
          <w:b/>
          <w:bCs/>
          <w:color w:val="auto"/>
          <w:sz w:val="28"/>
          <w:szCs w:val="28"/>
        </w:rPr>
        <w:t>三、付款方式</w:t>
      </w:r>
    </w:p>
    <w:p>
      <w:pPr>
        <w:spacing w:line="360" w:lineRule="auto"/>
        <w:ind w:firstLine="560" w:firstLineChars="200"/>
        <w:rPr>
          <w:rFonts w:hint="eastAsia" w:ascii="宋体" w:hAnsi="宋体" w:eastAsia="宋体"/>
          <w:color w:val="auto"/>
          <w:sz w:val="28"/>
          <w:szCs w:val="28"/>
          <w:lang w:eastAsia="zh-CN"/>
        </w:rPr>
      </w:pPr>
      <w:r>
        <w:rPr>
          <w:rFonts w:hint="eastAsia" w:ascii="宋体" w:hAnsi="宋体"/>
          <w:color w:val="auto"/>
          <w:sz w:val="28"/>
          <w:szCs w:val="28"/>
        </w:rPr>
        <w:t>1、监理合同签订，监理人员进场并经项目业主和代理业主审批后10日内，支付至合同金额的10%</w:t>
      </w:r>
      <w:r>
        <w:rPr>
          <w:rFonts w:hint="eastAsia" w:ascii="宋体" w:hAnsi="宋体"/>
          <w:color w:val="auto"/>
          <w:sz w:val="28"/>
          <w:szCs w:val="28"/>
          <w:lang w:eastAsia="zh-CN"/>
        </w:rPr>
        <w:t>；</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val="en-US" w:eastAsia="zh-CN"/>
        </w:rPr>
        <w:t>2、通电</w:t>
      </w:r>
      <w:r>
        <w:rPr>
          <w:rFonts w:hint="eastAsia" w:ascii="宋体" w:hAnsi="宋体"/>
          <w:color w:val="auto"/>
          <w:sz w:val="28"/>
          <w:szCs w:val="28"/>
        </w:rPr>
        <w:t>竣工验收合格</w:t>
      </w:r>
      <w:r>
        <w:rPr>
          <w:rFonts w:hint="eastAsia" w:ascii="宋体" w:hAnsi="宋体"/>
          <w:color w:val="auto"/>
          <w:sz w:val="28"/>
          <w:szCs w:val="28"/>
          <w:lang w:val="en-US" w:eastAsia="zh-CN"/>
        </w:rPr>
        <w:t>后</w:t>
      </w:r>
      <w:r>
        <w:rPr>
          <w:rFonts w:hint="eastAsia" w:ascii="宋体" w:hAnsi="宋体"/>
          <w:color w:val="auto"/>
          <w:sz w:val="28"/>
          <w:szCs w:val="28"/>
        </w:rPr>
        <w:t>，经项目业主单位和代理业主审批后10日内</w:t>
      </w:r>
      <w:r>
        <w:rPr>
          <w:rFonts w:hint="eastAsia" w:ascii="宋体" w:hAnsi="宋体"/>
          <w:color w:val="auto"/>
          <w:sz w:val="28"/>
          <w:szCs w:val="28"/>
          <w:lang w:eastAsia="zh-CN"/>
        </w:rPr>
        <w:t>，</w:t>
      </w:r>
      <w:r>
        <w:rPr>
          <w:rFonts w:hint="eastAsia" w:ascii="宋体" w:hAnsi="宋体"/>
          <w:color w:val="auto"/>
          <w:sz w:val="28"/>
          <w:szCs w:val="28"/>
          <w:lang w:val="en-US" w:eastAsia="zh-CN"/>
        </w:rPr>
        <w:t>支付至合同金额的90%</w:t>
      </w:r>
      <w:r>
        <w:rPr>
          <w:rFonts w:hint="eastAsia" w:ascii="宋体" w:hAnsi="宋体"/>
          <w:color w:val="auto"/>
          <w:sz w:val="28"/>
          <w:szCs w:val="28"/>
          <w:lang w:eastAsia="zh-CN"/>
        </w:rPr>
        <w:t>；</w:t>
      </w:r>
    </w:p>
    <w:p>
      <w:pPr>
        <w:spacing w:line="360" w:lineRule="auto"/>
        <w:ind w:firstLine="560" w:firstLineChars="200"/>
        <w:rPr>
          <w:rFonts w:hint="default" w:ascii="宋体" w:hAnsi="宋体"/>
          <w:color w:val="auto"/>
          <w:sz w:val="28"/>
          <w:szCs w:val="28"/>
          <w:lang w:val="en-US" w:eastAsia="zh-CN"/>
        </w:rPr>
      </w:pPr>
      <w:r>
        <w:rPr>
          <w:rFonts w:hint="eastAsia" w:ascii="宋体" w:hAnsi="宋体"/>
          <w:color w:val="auto"/>
          <w:sz w:val="28"/>
          <w:szCs w:val="28"/>
          <w:lang w:val="en-US" w:eastAsia="zh-CN"/>
        </w:rPr>
        <w:t>3、</w:t>
      </w:r>
      <w:r>
        <w:rPr>
          <w:rFonts w:hint="eastAsia" w:ascii="宋体" w:hAnsi="宋体"/>
          <w:color w:val="auto"/>
          <w:sz w:val="28"/>
          <w:szCs w:val="28"/>
        </w:rPr>
        <w:t>项目竣工审计完成后，支付</w:t>
      </w:r>
      <w:r>
        <w:rPr>
          <w:rFonts w:hint="eastAsia" w:ascii="宋体" w:hAnsi="宋体"/>
          <w:color w:val="auto"/>
          <w:sz w:val="28"/>
          <w:szCs w:val="28"/>
          <w:lang w:val="en-US" w:eastAsia="zh-CN"/>
        </w:rPr>
        <w:t>合同金额的10%</w:t>
      </w:r>
      <w:r>
        <w:rPr>
          <w:rFonts w:hint="eastAsia" w:ascii="宋体" w:hAnsi="宋体"/>
          <w:color w:val="auto"/>
          <w:sz w:val="28"/>
          <w:szCs w:val="28"/>
        </w:rPr>
        <w:t>。</w:t>
      </w:r>
    </w:p>
    <w:p>
      <w:pPr>
        <w:spacing w:line="360" w:lineRule="auto"/>
        <w:ind w:firstLine="560" w:firstLineChars="200"/>
        <w:rPr>
          <w:rFonts w:ascii="宋体" w:hAnsi="宋体"/>
          <w:color w:val="auto"/>
          <w:sz w:val="28"/>
          <w:szCs w:val="28"/>
          <w:u w:val="none"/>
        </w:rPr>
      </w:pPr>
      <w:r>
        <w:rPr>
          <w:rFonts w:hint="eastAsia" w:ascii="宋体" w:hAnsi="宋体"/>
          <w:color w:val="auto"/>
          <w:sz w:val="28"/>
          <w:szCs w:val="28"/>
          <w:u w:val="none"/>
        </w:rPr>
        <w:t>比选人支付前中选人须提供付款申请及足额合格有效的发票，否则比选人有权拒绝付款。</w:t>
      </w:r>
    </w:p>
    <w:p>
      <w:pPr>
        <w:spacing w:line="360" w:lineRule="auto"/>
        <w:ind w:firstLine="540" w:firstLineChars="192"/>
        <w:rPr>
          <w:rFonts w:ascii="宋体" w:hAnsi="宋体"/>
          <w:color w:val="auto"/>
          <w:sz w:val="28"/>
          <w:szCs w:val="28"/>
        </w:rPr>
      </w:pPr>
      <w:r>
        <w:rPr>
          <w:rFonts w:hint="eastAsia" w:ascii="宋体" w:hAnsi="宋体"/>
          <w:b/>
          <w:bCs/>
          <w:color w:val="auto"/>
          <w:sz w:val="28"/>
          <w:szCs w:val="28"/>
        </w:rPr>
        <w:t>四、结算</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中选总价即为结算价，不因任何原因调整中选价。</w:t>
      </w:r>
    </w:p>
    <w:p>
      <w:pPr>
        <w:spacing w:line="360" w:lineRule="auto"/>
        <w:ind w:firstLine="540" w:firstLineChars="192"/>
        <w:rPr>
          <w:rFonts w:ascii="宋体" w:hAnsi="宋体"/>
          <w:b/>
          <w:color w:val="auto"/>
          <w:sz w:val="28"/>
          <w:szCs w:val="28"/>
        </w:rPr>
      </w:pPr>
      <w:r>
        <w:rPr>
          <w:rFonts w:hint="eastAsia" w:ascii="宋体" w:hAnsi="宋体"/>
          <w:b/>
          <w:color w:val="auto"/>
          <w:sz w:val="28"/>
          <w:szCs w:val="28"/>
        </w:rPr>
        <w:t>五、合同签订</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中标单位须在比选后5日内与比选人签订合同。</w:t>
      </w:r>
    </w:p>
    <w:p>
      <w:pPr>
        <w:spacing w:line="360" w:lineRule="auto"/>
        <w:ind w:firstLine="540" w:firstLineChars="192"/>
        <w:rPr>
          <w:rFonts w:ascii="宋体" w:hAnsi="宋体"/>
          <w:b/>
          <w:color w:val="auto"/>
          <w:sz w:val="28"/>
          <w:szCs w:val="28"/>
        </w:rPr>
      </w:pPr>
      <w:r>
        <w:rPr>
          <w:rFonts w:hint="eastAsia" w:ascii="宋体" w:hAnsi="宋体"/>
          <w:b/>
          <w:color w:val="auto"/>
          <w:sz w:val="28"/>
          <w:szCs w:val="28"/>
        </w:rPr>
        <w:t>六、解决争议方式</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本合同在履行过程中发生的争议，由双方当事人协商解决，协商不成的提交重庆仲裁委员会仲裁或向项目所在地人民法院提起诉讼。</w:t>
      </w:r>
    </w:p>
    <w:p>
      <w:pPr>
        <w:spacing w:line="360" w:lineRule="auto"/>
        <w:ind w:firstLine="540" w:firstLineChars="192"/>
        <w:rPr>
          <w:rFonts w:ascii="宋体" w:hAnsi="宋体"/>
          <w:b/>
          <w:color w:val="auto"/>
          <w:sz w:val="28"/>
          <w:szCs w:val="28"/>
        </w:rPr>
      </w:pPr>
      <w:r>
        <w:rPr>
          <w:rFonts w:hint="eastAsia" w:ascii="宋体" w:hAnsi="宋体"/>
          <w:b/>
          <w:color w:val="auto"/>
          <w:sz w:val="28"/>
          <w:szCs w:val="28"/>
        </w:rPr>
        <w:t>七、未尽事宜</w:t>
      </w:r>
    </w:p>
    <w:p>
      <w:pPr>
        <w:spacing w:line="360" w:lineRule="auto"/>
        <w:ind w:firstLine="560" w:firstLineChars="200"/>
        <w:rPr>
          <w:rFonts w:ascii="宋体" w:hAnsi="宋体"/>
          <w:b/>
          <w:bCs/>
          <w:color w:val="auto"/>
          <w:sz w:val="28"/>
          <w:szCs w:val="28"/>
        </w:rPr>
      </w:pPr>
      <w:r>
        <w:rPr>
          <w:rFonts w:hint="eastAsia" w:ascii="宋体" w:hAnsi="宋体"/>
          <w:color w:val="auto"/>
          <w:sz w:val="28"/>
          <w:szCs w:val="28"/>
        </w:rPr>
        <w:t>待成交后双方协商确定。</w:t>
      </w:r>
    </w:p>
    <w:p>
      <w:pPr>
        <w:spacing w:line="360" w:lineRule="auto"/>
        <w:ind w:firstLine="562" w:firstLineChars="200"/>
        <w:rPr>
          <w:rFonts w:ascii="宋体" w:hAnsi="宋体"/>
          <w:b/>
          <w:bCs/>
          <w:color w:val="auto"/>
          <w:sz w:val="28"/>
          <w:szCs w:val="28"/>
        </w:rPr>
      </w:pPr>
    </w:p>
    <w:p>
      <w:pPr>
        <w:spacing w:line="360" w:lineRule="auto"/>
        <w:ind w:firstLine="562" w:firstLineChars="200"/>
        <w:rPr>
          <w:rFonts w:ascii="宋体" w:hAnsi="宋体"/>
          <w:b/>
          <w:bCs/>
          <w:color w:val="auto"/>
          <w:sz w:val="28"/>
          <w:szCs w:val="28"/>
        </w:rPr>
      </w:pPr>
    </w:p>
    <w:p>
      <w:pPr>
        <w:spacing w:line="360" w:lineRule="auto"/>
        <w:ind w:firstLine="562" w:firstLineChars="200"/>
        <w:rPr>
          <w:rFonts w:ascii="宋体" w:hAnsi="宋体"/>
          <w:b/>
          <w:bCs/>
          <w:color w:val="auto"/>
          <w:sz w:val="28"/>
          <w:szCs w:val="28"/>
        </w:rPr>
      </w:pPr>
    </w:p>
    <w:p>
      <w:pPr>
        <w:spacing w:line="360" w:lineRule="auto"/>
        <w:ind w:firstLine="562" w:firstLineChars="200"/>
        <w:rPr>
          <w:rFonts w:ascii="宋体" w:hAnsi="宋体"/>
          <w:b/>
          <w:bCs/>
          <w:color w:val="auto"/>
          <w:sz w:val="28"/>
          <w:szCs w:val="28"/>
        </w:rPr>
      </w:pPr>
    </w:p>
    <w:p>
      <w:pPr>
        <w:spacing w:line="360" w:lineRule="auto"/>
        <w:rPr>
          <w:rFonts w:ascii="宋体" w:hAnsi="宋体"/>
          <w:color w:val="auto"/>
          <w:sz w:val="24"/>
          <w:szCs w:val="28"/>
        </w:rPr>
      </w:pPr>
    </w:p>
    <w:p>
      <w:pPr>
        <w:pStyle w:val="2"/>
        <w:spacing w:before="0" w:after="0" w:line="360" w:lineRule="auto"/>
        <w:ind w:firstLine="200"/>
        <w:jc w:val="center"/>
        <w:rPr>
          <w:rFonts w:ascii="宋体" w:hAnsi="宋体" w:eastAsia="宋体"/>
          <w:color w:val="auto"/>
          <w:sz w:val="36"/>
        </w:rPr>
      </w:pPr>
      <w:bookmarkStart w:id="23" w:name="_Toc17728"/>
      <w:r>
        <w:rPr>
          <w:rFonts w:hint="eastAsia" w:ascii="宋体" w:hAnsi="宋体" w:eastAsia="宋体"/>
          <w:color w:val="auto"/>
          <w:sz w:val="36"/>
        </w:rPr>
        <w:t>第</w:t>
      </w:r>
      <w:r>
        <w:rPr>
          <w:rFonts w:hint="eastAsia" w:ascii="宋体" w:hAnsi="宋体" w:eastAsia="宋体"/>
          <w:color w:val="auto"/>
          <w:sz w:val="36"/>
          <w:lang w:val="en-US" w:eastAsia="zh-CN"/>
        </w:rPr>
        <w:t>四</w:t>
      </w:r>
      <w:r>
        <w:rPr>
          <w:rFonts w:hint="eastAsia" w:ascii="宋体" w:hAnsi="宋体" w:eastAsia="宋体"/>
          <w:color w:val="auto"/>
          <w:sz w:val="36"/>
        </w:rPr>
        <w:t>部分  竞标文件格式要求</w:t>
      </w:r>
      <w:bookmarkEnd w:id="23"/>
    </w:p>
    <w:p>
      <w:pPr>
        <w:spacing w:line="360" w:lineRule="auto"/>
        <w:ind w:firstLine="560" w:firstLineChars="200"/>
        <w:rPr>
          <w:rFonts w:ascii="宋体" w:hAnsi="宋体" w:cs="仿宋_GB2312"/>
          <w:color w:val="auto"/>
          <w:sz w:val="28"/>
          <w:szCs w:val="28"/>
        </w:rPr>
      </w:pPr>
      <w:bookmarkStart w:id="24" w:name="_Toc12789074"/>
      <w:r>
        <w:rPr>
          <w:rFonts w:hint="eastAsia" w:ascii="宋体" w:hAnsi="宋体" w:cs="仿宋_GB2312"/>
          <w:color w:val="auto"/>
          <w:sz w:val="28"/>
          <w:szCs w:val="28"/>
        </w:rPr>
        <w:t>1、竞争性报价函</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2、法定代表人身份证明书</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3、法定代表人授权委托书</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rPr>
        <w:t>4、营业执照及相关资质证书（复印件，盖鲜章）</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lang w:val="en-US" w:eastAsia="zh-CN"/>
        </w:rPr>
        <w:t>5</w:t>
      </w:r>
      <w:r>
        <w:rPr>
          <w:rFonts w:hint="eastAsia" w:ascii="宋体" w:hAnsi="宋体" w:cs="仿宋_GB2312"/>
          <w:color w:val="auto"/>
          <w:sz w:val="28"/>
          <w:szCs w:val="28"/>
        </w:rPr>
        <w:t>、</w:t>
      </w:r>
      <w:r>
        <w:rPr>
          <w:rFonts w:hint="eastAsia" w:ascii="宋体" w:hAnsi="宋体" w:cs="仿宋_GB2312"/>
          <w:color w:val="auto"/>
          <w:sz w:val="28"/>
          <w:szCs w:val="28"/>
          <w:lang w:val="en-US" w:eastAsia="zh-CN"/>
        </w:rPr>
        <w:t>监理人员</w:t>
      </w:r>
      <w:r>
        <w:rPr>
          <w:rFonts w:hint="eastAsia" w:ascii="宋体" w:hAnsi="宋体" w:cs="仿宋_GB2312"/>
          <w:color w:val="auto"/>
          <w:sz w:val="28"/>
          <w:szCs w:val="28"/>
        </w:rPr>
        <w:t>附表</w:t>
      </w:r>
    </w:p>
    <w:p>
      <w:pPr>
        <w:spacing w:line="360" w:lineRule="auto"/>
        <w:ind w:left="559" w:leftChars="266" w:firstLine="0" w:firstLineChars="0"/>
        <w:rPr>
          <w:rFonts w:hint="eastAsia" w:ascii="宋体" w:hAnsi="宋体" w:cs="仿宋_GB2312"/>
          <w:color w:val="auto"/>
          <w:sz w:val="28"/>
          <w:szCs w:val="28"/>
        </w:rPr>
      </w:pPr>
      <w:r>
        <w:rPr>
          <w:rFonts w:hint="eastAsia" w:ascii="宋体" w:hAnsi="宋体" w:cs="仿宋_GB2312"/>
          <w:color w:val="auto"/>
          <w:sz w:val="28"/>
          <w:szCs w:val="28"/>
          <w:lang w:val="en-US" w:eastAsia="zh-CN"/>
        </w:rPr>
        <w:t>6</w:t>
      </w:r>
      <w:r>
        <w:rPr>
          <w:rFonts w:hint="eastAsia" w:ascii="宋体" w:hAnsi="宋体" w:cs="仿宋_GB2312"/>
          <w:color w:val="auto"/>
          <w:sz w:val="28"/>
          <w:szCs w:val="28"/>
        </w:rPr>
        <w:t>、</w:t>
      </w:r>
      <w:r>
        <w:rPr>
          <w:rFonts w:hint="eastAsia" w:ascii="宋体" w:hAnsi="宋体" w:cs="仿宋_GB2312"/>
          <w:color w:val="auto"/>
          <w:sz w:val="28"/>
          <w:szCs w:val="28"/>
          <w:lang w:val="en-US" w:eastAsia="zh-CN"/>
        </w:rPr>
        <w:t>监理人员</w:t>
      </w:r>
      <w:r>
        <w:rPr>
          <w:rFonts w:hint="eastAsia" w:ascii="宋体" w:hAnsi="宋体" w:cs="仿宋_GB2312"/>
          <w:color w:val="auto"/>
          <w:sz w:val="28"/>
          <w:szCs w:val="28"/>
        </w:rPr>
        <w:t>资格和社保证明材料（</w:t>
      </w:r>
      <w:r>
        <w:rPr>
          <w:rFonts w:hint="eastAsia" w:ascii="宋体" w:hAnsi="宋体" w:cs="仿宋_GB2312"/>
          <w:color w:val="auto"/>
          <w:sz w:val="28"/>
          <w:szCs w:val="28"/>
          <w:lang w:val="en-US" w:eastAsia="zh-CN"/>
        </w:rPr>
        <w:t>提供资格证书全本彩印件和</w:t>
      </w:r>
      <w:r>
        <w:rPr>
          <w:rFonts w:hint="eastAsia" w:ascii="宋体" w:hAnsi="宋体" w:cs="宋体"/>
          <w:color w:val="auto"/>
          <w:sz w:val="28"/>
          <w:szCs w:val="28"/>
          <w:highlight w:val="none"/>
          <w:lang w:val="en-US" w:eastAsia="zh-CN"/>
        </w:rPr>
        <w:t>缴纳社保证明复印件</w:t>
      </w:r>
      <w:r>
        <w:rPr>
          <w:rFonts w:hint="eastAsia" w:ascii="宋体" w:hAnsi="宋体" w:cs="仿宋_GB2312"/>
          <w:color w:val="auto"/>
          <w:sz w:val="28"/>
          <w:szCs w:val="28"/>
        </w:rPr>
        <w:t>,</w:t>
      </w:r>
      <w:r>
        <w:rPr>
          <w:rFonts w:hint="eastAsia" w:ascii="宋体" w:hAnsi="宋体" w:cs="仿宋_GB2312"/>
          <w:color w:val="auto"/>
          <w:sz w:val="28"/>
          <w:szCs w:val="28"/>
          <w:lang w:val="en-US" w:eastAsia="zh-CN"/>
        </w:rPr>
        <w:t>加盖公司</w:t>
      </w:r>
      <w:r>
        <w:rPr>
          <w:rFonts w:hint="eastAsia" w:ascii="宋体" w:hAnsi="宋体" w:cs="仿宋_GB2312"/>
          <w:color w:val="auto"/>
          <w:sz w:val="28"/>
          <w:szCs w:val="28"/>
        </w:rPr>
        <w:t>鲜章）</w:t>
      </w:r>
    </w:p>
    <w:p>
      <w:pPr>
        <w:spacing w:line="360" w:lineRule="auto"/>
        <w:ind w:left="559" w:leftChars="266" w:firstLine="0" w:firstLineChars="0"/>
        <w:rPr>
          <w:rFonts w:ascii="宋体" w:hAnsi="宋体" w:cs="仿宋_GB2312"/>
          <w:color w:val="auto"/>
          <w:sz w:val="28"/>
          <w:szCs w:val="28"/>
        </w:rPr>
      </w:pPr>
      <w:r>
        <w:rPr>
          <w:rFonts w:hint="eastAsia" w:ascii="宋体" w:hAnsi="宋体" w:cs="仿宋_GB2312"/>
          <w:color w:val="auto"/>
          <w:sz w:val="28"/>
          <w:szCs w:val="28"/>
          <w:lang w:val="en-US" w:eastAsia="zh-CN"/>
        </w:rPr>
        <w:t>7</w:t>
      </w:r>
      <w:r>
        <w:rPr>
          <w:rFonts w:hint="eastAsia" w:ascii="宋体" w:hAnsi="宋体" w:cs="仿宋_GB2312"/>
          <w:color w:val="auto"/>
          <w:sz w:val="28"/>
          <w:szCs w:val="28"/>
        </w:rPr>
        <w:t>、诚信声明</w:t>
      </w:r>
    </w:p>
    <w:p>
      <w:pPr>
        <w:spacing w:line="360" w:lineRule="auto"/>
        <w:ind w:firstLine="560" w:firstLineChars="200"/>
        <w:rPr>
          <w:rFonts w:ascii="宋体" w:hAnsi="宋体" w:cs="仿宋_GB2312"/>
          <w:color w:val="auto"/>
          <w:sz w:val="28"/>
          <w:szCs w:val="28"/>
        </w:rPr>
      </w:pPr>
      <w:r>
        <w:rPr>
          <w:rFonts w:hint="eastAsia" w:ascii="宋体" w:hAnsi="宋体" w:cs="仿宋_GB2312"/>
          <w:color w:val="auto"/>
          <w:sz w:val="28"/>
          <w:szCs w:val="28"/>
          <w:lang w:val="en-US" w:eastAsia="zh-CN"/>
        </w:rPr>
        <w:t>8、技术部分（监理大纲）</w:t>
      </w: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spacing w:line="360" w:lineRule="auto"/>
        <w:ind w:firstLine="560" w:firstLineChars="200"/>
        <w:rPr>
          <w:rFonts w:ascii="宋体" w:hAnsi="宋体" w:cs="仿宋_GB2312"/>
          <w:color w:val="auto"/>
          <w:sz w:val="28"/>
          <w:szCs w:val="28"/>
        </w:rPr>
      </w:pPr>
    </w:p>
    <w:p>
      <w:pPr>
        <w:pStyle w:val="4"/>
        <w:jc w:val="left"/>
        <w:rPr>
          <w:rFonts w:ascii="宋体" w:hAnsi="宋体" w:eastAsia="宋体"/>
          <w:color w:val="auto"/>
        </w:rPr>
      </w:pPr>
      <w:r>
        <w:rPr>
          <w:rFonts w:hint="eastAsia" w:ascii="宋体" w:hAnsi="宋体" w:eastAsia="宋体"/>
          <w:color w:val="auto"/>
        </w:rPr>
        <w:t>附录</w:t>
      </w:r>
      <w:bookmarkEnd w:id="24"/>
      <w:r>
        <w:rPr>
          <w:rFonts w:hint="eastAsia" w:ascii="宋体" w:hAnsi="宋体" w:eastAsia="宋体"/>
          <w:color w:val="auto"/>
        </w:rPr>
        <w:t>1</w:t>
      </w:r>
    </w:p>
    <w:p>
      <w:pPr>
        <w:tabs>
          <w:tab w:val="left" w:pos="6300"/>
        </w:tabs>
        <w:snapToGrid w:val="0"/>
        <w:spacing w:line="480" w:lineRule="exact"/>
        <w:jc w:val="center"/>
        <w:outlineLvl w:val="0"/>
        <w:rPr>
          <w:rFonts w:ascii="宋体" w:hAnsi="宋体"/>
          <w:b/>
          <w:color w:val="auto"/>
          <w:sz w:val="40"/>
          <w:szCs w:val="28"/>
        </w:rPr>
      </w:pPr>
      <w:r>
        <w:rPr>
          <w:rFonts w:hint="eastAsia" w:ascii="宋体" w:hAnsi="宋体"/>
          <w:b/>
          <w:color w:val="auto"/>
          <w:sz w:val="40"/>
          <w:szCs w:val="28"/>
        </w:rPr>
        <w:t>竞争性报价函（格式）</w:t>
      </w:r>
    </w:p>
    <w:p>
      <w:pPr>
        <w:tabs>
          <w:tab w:val="left" w:pos="6300"/>
        </w:tabs>
        <w:snapToGrid w:val="0"/>
        <w:spacing w:line="480" w:lineRule="exact"/>
        <w:rPr>
          <w:rFonts w:ascii="宋体" w:hAnsi="宋体"/>
          <w:color w:val="auto"/>
          <w:sz w:val="28"/>
          <w:szCs w:val="28"/>
        </w:rPr>
      </w:pPr>
      <w:r>
        <w:rPr>
          <w:rFonts w:hint="eastAsia" w:ascii="宋体" w:hAnsi="宋体"/>
          <w:color w:val="auto"/>
          <w:sz w:val="28"/>
          <w:szCs w:val="28"/>
        </w:rPr>
        <w:t>致：</w:t>
      </w:r>
    </w:p>
    <w:p>
      <w:pPr>
        <w:tabs>
          <w:tab w:val="left" w:pos="6300"/>
        </w:tabs>
        <w:snapToGrid w:val="0"/>
        <w:spacing w:line="480" w:lineRule="exact"/>
        <w:ind w:firstLine="570"/>
        <w:rPr>
          <w:rFonts w:ascii="宋体" w:hAnsi="宋体"/>
          <w:color w:val="auto"/>
          <w:sz w:val="28"/>
          <w:szCs w:val="28"/>
        </w:rPr>
      </w:pPr>
      <w:r>
        <w:rPr>
          <w:rFonts w:hint="eastAsia" w:ascii="宋体" w:hAnsi="宋体"/>
          <w:color w:val="auto"/>
          <w:sz w:val="28"/>
          <w:szCs w:val="28"/>
        </w:rPr>
        <w:t>我方收到的比选文件，经详细研究，决定参加该比选项目的竞争比选。</w:t>
      </w:r>
    </w:p>
    <w:p>
      <w:pPr>
        <w:tabs>
          <w:tab w:val="left" w:pos="6300"/>
        </w:tabs>
        <w:snapToGrid w:val="0"/>
        <w:spacing w:line="480" w:lineRule="exact"/>
        <w:ind w:firstLine="560" w:firstLineChars="200"/>
        <w:rPr>
          <w:rFonts w:ascii="宋体" w:hAnsi="宋体"/>
          <w:color w:val="auto"/>
          <w:sz w:val="28"/>
          <w:szCs w:val="28"/>
        </w:rPr>
      </w:pPr>
      <w:r>
        <w:rPr>
          <w:rFonts w:hint="eastAsia" w:ascii="宋体" w:hAnsi="宋体"/>
          <w:color w:val="auto"/>
          <w:sz w:val="28"/>
          <w:szCs w:val="28"/>
        </w:rPr>
        <w:t>1、愿意按照竞争性比选文件中的一切要求，按</w:t>
      </w:r>
      <w:r>
        <w:rPr>
          <w:rFonts w:hint="eastAsia" w:ascii="宋体" w:hAnsi="宋体"/>
          <w:color w:val="auto"/>
          <w:sz w:val="28"/>
          <w:szCs w:val="28"/>
          <w:u w:val="single"/>
        </w:rPr>
        <w:t xml:space="preserve">             元(大写人民币： </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包干金额作为</w:t>
      </w:r>
      <w:r>
        <w:rPr>
          <w:rFonts w:hint="eastAsia" w:ascii="宋体" w:hAnsi="宋体"/>
          <w:color w:val="auto"/>
          <w:sz w:val="28"/>
          <w:szCs w:val="28"/>
          <w:lang w:val="en-US" w:eastAsia="zh-CN"/>
        </w:rPr>
        <w:t>监理费</w:t>
      </w:r>
      <w:r>
        <w:rPr>
          <w:rFonts w:hint="eastAsia" w:ascii="宋体" w:hAnsi="宋体"/>
          <w:color w:val="auto"/>
          <w:sz w:val="28"/>
          <w:szCs w:val="28"/>
        </w:rPr>
        <w:t>。</w:t>
      </w:r>
    </w:p>
    <w:p>
      <w:pPr>
        <w:tabs>
          <w:tab w:val="left" w:pos="6300"/>
        </w:tabs>
        <w:snapToGrid w:val="0"/>
        <w:spacing w:line="480" w:lineRule="exact"/>
        <w:ind w:firstLine="570"/>
        <w:rPr>
          <w:rFonts w:ascii="宋体" w:hAnsi="宋体"/>
          <w:color w:val="auto"/>
          <w:sz w:val="28"/>
          <w:szCs w:val="28"/>
        </w:rPr>
      </w:pPr>
      <w:r>
        <w:rPr>
          <w:rFonts w:hint="eastAsia" w:ascii="宋体" w:hAnsi="宋体"/>
          <w:color w:val="auto"/>
          <w:sz w:val="28"/>
          <w:szCs w:val="28"/>
        </w:rPr>
        <w:t>2、我们提交的报价文件为：报价文件正本壹份，副本壹份。</w:t>
      </w:r>
    </w:p>
    <w:p>
      <w:pPr>
        <w:spacing w:line="480" w:lineRule="exact"/>
        <w:ind w:firstLine="555"/>
        <w:rPr>
          <w:rFonts w:ascii="宋体" w:hAnsi="宋体"/>
          <w:color w:val="auto"/>
          <w:sz w:val="28"/>
          <w:szCs w:val="28"/>
        </w:rPr>
      </w:pPr>
      <w:r>
        <w:rPr>
          <w:rFonts w:hint="eastAsia" w:ascii="宋体" w:hAnsi="宋体"/>
          <w:color w:val="auto"/>
          <w:sz w:val="28"/>
          <w:szCs w:val="28"/>
        </w:rPr>
        <w:t>3、我们完全理解和接受贵方竞争性比选文件的一切规定和要求，完全答应比选文件中规定的所有条件和比选评审办法。</w:t>
      </w:r>
    </w:p>
    <w:p>
      <w:pPr>
        <w:spacing w:line="480" w:lineRule="exact"/>
        <w:ind w:firstLine="555"/>
        <w:rPr>
          <w:rFonts w:ascii="宋体" w:hAnsi="宋体"/>
          <w:color w:val="auto"/>
          <w:sz w:val="28"/>
          <w:szCs w:val="28"/>
        </w:rPr>
      </w:pPr>
      <w:r>
        <w:rPr>
          <w:rFonts w:hint="eastAsia" w:ascii="宋体" w:hAnsi="宋体"/>
          <w:color w:val="auto"/>
          <w:sz w:val="28"/>
          <w:szCs w:val="28"/>
        </w:rPr>
        <w:t>4、在整个竞争性比选过程中，我方若有违规行为，贵方可按《中华人民共和国政府采购法》和《竞争性比选文件》之规定给予惩罚，我方完全接受。</w:t>
      </w:r>
    </w:p>
    <w:p>
      <w:pPr>
        <w:spacing w:line="480" w:lineRule="exact"/>
        <w:ind w:firstLine="555"/>
        <w:rPr>
          <w:rFonts w:ascii="宋体" w:hAnsi="宋体"/>
          <w:color w:val="auto"/>
          <w:sz w:val="28"/>
          <w:szCs w:val="28"/>
        </w:rPr>
      </w:pPr>
      <w:r>
        <w:rPr>
          <w:rFonts w:hint="eastAsia" w:ascii="宋体" w:hAnsi="宋体"/>
          <w:color w:val="auto"/>
          <w:sz w:val="28"/>
          <w:szCs w:val="28"/>
        </w:rPr>
        <w:t>5、若我们成为成交单位，我方将按照最终比选结果签订合同，并按要求</w:t>
      </w:r>
      <w:r>
        <w:rPr>
          <w:rFonts w:hint="eastAsia" w:ascii="宋体" w:hAnsi="宋体"/>
          <w:color w:val="auto"/>
          <w:sz w:val="28"/>
          <w:szCs w:val="28"/>
          <w:lang w:val="en-US" w:eastAsia="zh-CN"/>
        </w:rPr>
        <w:t>完成监理的全部工作</w:t>
      </w:r>
      <w:r>
        <w:rPr>
          <w:rFonts w:hint="eastAsia" w:ascii="宋体" w:hAnsi="宋体"/>
          <w:color w:val="auto"/>
          <w:sz w:val="28"/>
          <w:szCs w:val="28"/>
        </w:rPr>
        <w:t>，且严格履行合同义务。本承诺函将成为合同不可分割的一部分，与合同具有同等的法律效力。</w:t>
      </w:r>
    </w:p>
    <w:p>
      <w:pPr>
        <w:tabs>
          <w:tab w:val="left" w:pos="6300"/>
        </w:tabs>
        <w:snapToGrid w:val="0"/>
        <w:spacing w:line="480" w:lineRule="exact"/>
        <w:ind w:firstLine="570"/>
        <w:rPr>
          <w:rFonts w:ascii="宋体" w:hAnsi="宋体"/>
          <w:color w:val="auto"/>
          <w:sz w:val="28"/>
          <w:szCs w:val="28"/>
        </w:rPr>
      </w:pPr>
    </w:p>
    <w:p>
      <w:pPr>
        <w:tabs>
          <w:tab w:val="left" w:pos="6300"/>
        </w:tabs>
        <w:snapToGrid w:val="0"/>
        <w:spacing w:line="480" w:lineRule="exact"/>
        <w:ind w:firstLine="570"/>
        <w:rPr>
          <w:rFonts w:ascii="宋体" w:hAnsi="宋体"/>
          <w:color w:val="auto"/>
          <w:sz w:val="28"/>
          <w:szCs w:val="28"/>
        </w:rPr>
      </w:pPr>
    </w:p>
    <w:p>
      <w:pPr>
        <w:snapToGrid w:val="0"/>
        <w:spacing w:line="360" w:lineRule="auto"/>
        <w:ind w:firstLine="478" w:firstLineChars="171"/>
        <w:rPr>
          <w:rFonts w:ascii="宋体" w:hAnsi="宋体" w:cs="仿宋_GB2312"/>
          <w:color w:val="auto"/>
          <w:sz w:val="28"/>
          <w:szCs w:val="28"/>
        </w:rPr>
      </w:pPr>
      <w:r>
        <w:rPr>
          <w:rFonts w:hint="eastAsia" w:ascii="宋体" w:hAnsi="宋体"/>
          <w:color w:val="auto"/>
          <w:sz w:val="28"/>
          <w:szCs w:val="28"/>
        </w:rPr>
        <w:t>竞标人（</w:t>
      </w:r>
      <w:r>
        <w:rPr>
          <w:rFonts w:hint="eastAsia" w:ascii="宋体" w:hAnsi="宋体" w:cs="仿宋_GB2312"/>
          <w:color w:val="auto"/>
          <w:sz w:val="28"/>
          <w:szCs w:val="28"/>
        </w:rPr>
        <w:t>法定代表人或法定代表人授权代表签名</w:t>
      </w:r>
      <w:r>
        <w:rPr>
          <w:rFonts w:ascii="宋体" w:hAnsi="宋体" w:cs="仿宋_GB2312"/>
          <w:color w:val="auto"/>
          <w:sz w:val="28"/>
          <w:szCs w:val="28"/>
        </w:rPr>
        <w:t>）</w:t>
      </w:r>
      <w:r>
        <w:rPr>
          <w:rFonts w:hint="eastAsia" w:ascii="宋体" w:hAnsi="宋体" w:cs="仿宋_GB2312"/>
          <w:color w:val="auto"/>
          <w:sz w:val="28"/>
          <w:szCs w:val="28"/>
        </w:rPr>
        <w:t xml:space="preserve">: </w:t>
      </w:r>
      <w:r>
        <w:rPr>
          <w:rFonts w:hint="eastAsia" w:ascii="宋体" w:hAnsi="宋体" w:cs="仿宋_GB2312"/>
          <w:color w:val="auto"/>
          <w:sz w:val="28"/>
          <w:szCs w:val="28"/>
          <w:u w:val="single"/>
        </w:rPr>
        <w:t xml:space="preserve">        </w:t>
      </w:r>
    </w:p>
    <w:p>
      <w:pPr>
        <w:tabs>
          <w:tab w:val="left" w:pos="6300"/>
        </w:tabs>
        <w:snapToGrid w:val="0"/>
        <w:spacing w:line="480" w:lineRule="exact"/>
        <w:ind w:firstLine="570"/>
        <w:rPr>
          <w:rFonts w:ascii="宋体" w:hAnsi="宋体"/>
          <w:color w:val="auto"/>
          <w:sz w:val="28"/>
          <w:szCs w:val="28"/>
        </w:rPr>
      </w:pPr>
      <w:r>
        <w:rPr>
          <w:rFonts w:hint="eastAsia" w:ascii="宋体" w:hAnsi="宋体"/>
          <w:color w:val="auto"/>
          <w:sz w:val="28"/>
          <w:szCs w:val="28"/>
        </w:rPr>
        <w:t>（公章）</w:t>
      </w:r>
      <w:r>
        <w:rPr>
          <w:rFonts w:hint="eastAsia" w:ascii="宋体" w:hAnsi="宋体"/>
          <w:color w:val="auto"/>
          <w:sz w:val="28"/>
          <w:szCs w:val="28"/>
          <w:u w:val="single"/>
        </w:rPr>
        <w:t xml:space="preserve">           </w:t>
      </w:r>
      <w:r>
        <w:rPr>
          <w:rFonts w:hint="eastAsia" w:ascii="宋体" w:hAnsi="宋体"/>
          <w:color w:val="auto"/>
          <w:sz w:val="28"/>
          <w:szCs w:val="28"/>
        </w:rPr>
        <w:t>：</w:t>
      </w:r>
    </w:p>
    <w:p>
      <w:pPr>
        <w:tabs>
          <w:tab w:val="left" w:pos="6300"/>
        </w:tabs>
        <w:snapToGrid w:val="0"/>
        <w:spacing w:line="480" w:lineRule="exact"/>
        <w:ind w:firstLine="570"/>
        <w:rPr>
          <w:rFonts w:ascii="宋体" w:hAnsi="宋体"/>
          <w:color w:val="auto"/>
          <w:sz w:val="28"/>
          <w:szCs w:val="28"/>
        </w:rPr>
      </w:pPr>
      <w:r>
        <w:rPr>
          <w:rFonts w:hint="eastAsia" w:ascii="宋体" w:hAnsi="宋体"/>
          <w:color w:val="auto"/>
          <w:sz w:val="28"/>
          <w:szCs w:val="28"/>
        </w:rPr>
        <w:t xml:space="preserve">地址：  </w:t>
      </w:r>
    </w:p>
    <w:p>
      <w:pPr>
        <w:tabs>
          <w:tab w:val="left" w:pos="6300"/>
        </w:tabs>
        <w:snapToGrid w:val="0"/>
        <w:spacing w:line="480" w:lineRule="exact"/>
        <w:ind w:firstLine="570"/>
        <w:rPr>
          <w:rFonts w:ascii="宋体" w:hAnsi="宋体"/>
          <w:color w:val="auto"/>
          <w:sz w:val="28"/>
          <w:szCs w:val="28"/>
        </w:rPr>
      </w:pPr>
      <w:r>
        <w:rPr>
          <w:rFonts w:hint="eastAsia" w:ascii="宋体" w:hAnsi="宋体"/>
          <w:color w:val="auto"/>
          <w:sz w:val="28"/>
          <w:szCs w:val="28"/>
        </w:rPr>
        <w:t>电话：                           传真：</w:t>
      </w:r>
    </w:p>
    <w:p>
      <w:pPr>
        <w:tabs>
          <w:tab w:val="left" w:pos="6300"/>
        </w:tabs>
        <w:snapToGrid w:val="0"/>
        <w:spacing w:line="480" w:lineRule="exact"/>
        <w:ind w:firstLine="570"/>
        <w:rPr>
          <w:rFonts w:ascii="宋体" w:hAnsi="宋体"/>
          <w:color w:val="auto"/>
          <w:sz w:val="28"/>
          <w:szCs w:val="28"/>
        </w:rPr>
      </w:pPr>
      <w:r>
        <w:rPr>
          <w:rFonts w:hint="eastAsia" w:ascii="宋体" w:hAnsi="宋体"/>
          <w:color w:val="auto"/>
          <w:sz w:val="28"/>
          <w:szCs w:val="28"/>
        </w:rPr>
        <w:t>网址：                           邮编：</w:t>
      </w:r>
    </w:p>
    <w:p>
      <w:pPr>
        <w:snapToGrid w:val="0"/>
        <w:spacing w:line="520" w:lineRule="exact"/>
        <w:ind w:firstLine="560" w:firstLineChars="200"/>
        <w:rPr>
          <w:rFonts w:ascii="宋体" w:hAnsi="宋体"/>
          <w:color w:val="auto"/>
          <w:sz w:val="28"/>
          <w:szCs w:val="28"/>
        </w:rPr>
      </w:pPr>
    </w:p>
    <w:p>
      <w:pPr>
        <w:snapToGrid w:val="0"/>
        <w:spacing w:line="520" w:lineRule="exact"/>
        <w:ind w:firstLine="560" w:firstLineChars="200"/>
        <w:rPr>
          <w:rFonts w:ascii="宋体" w:hAnsi="宋体"/>
          <w:color w:val="auto"/>
          <w:sz w:val="28"/>
          <w:szCs w:val="28"/>
        </w:rPr>
      </w:pPr>
      <w:r>
        <w:rPr>
          <w:rFonts w:hint="eastAsia" w:ascii="宋体" w:hAnsi="宋体"/>
          <w:color w:val="auto"/>
          <w:sz w:val="28"/>
          <w:szCs w:val="28"/>
        </w:rPr>
        <w:t xml:space="preserve">                                               年   月   日</w:t>
      </w:r>
    </w:p>
    <w:p>
      <w:pPr>
        <w:pStyle w:val="4"/>
        <w:jc w:val="left"/>
        <w:rPr>
          <w:rFonts w:ascii="宋体" w:hAnsi="宋体" w:eastAsia="宋体"/>
          <w:color w:val="auto"/>
        </w:rPr>
      </w:pPr>
      <w:r>
        <w:rPr>
          <w:rFonts w:ascii="宋体" w:hAnsi="宋体"/>
          <w:color w:val="auto"/>
          <w:sz w:val="40"/>
        </w:rPr>
        <w:br w:type="page"/>
      </w:r>
      <w:r>
        <w:rPr>
          <w:rFonts w:hint="eastAsia" w:ascii="宋体" w:hAnsi="宋体" w:eastAsia="宋体"/>
          <w:color w:val="auto"/>
        </w:rPr>
        <w:t>附录2</w:t>
      </w:r>
    </w:p>
    <w:p>
      <w:pPr>
        <w:tabs>
          <w:tab w:val="left" w:pos="6300"/>
        </w:tabs>
        <w:snapToGrid w:val="0"/>
        <w:spacing w:line="400" w:lineRule="atLeast"/>
        <w:jc w:val="center"/>
        <w:outlineLvl w:val="0"/>
        <w:rPr>
          <w:rFonts w:ascii="宋体" w:hAnsi="宋体"/>
          <w:b/>
          <w:color w:val="auto"/>
          <w:sz w:val="40"/>
          <w:szCs w:val="28"/>
        </w:rPr>
      </w:pPr>
      <w:r>
        <w:rPr>
          <w:rFonts w:hint="eastAsia" w:ascii="宋体" w:hAnsi="宋体"/>
          <w:b/>
          <w:color w:val="auto"/>
          <w:sz w:val="40"/>
          <w:szCs w:val="28"/>
        </w:rPr>
        <w:t>法定代表人身份证明书（格式）</w:t>
      </w:r>
    </w:p>
    <w:p>
      <w:pPr>
        <w:tabs>
          <w:tab w:val="left" w:pos="6300"/>
        </w:tabs>
        <w:snapToGrid w:val="0"/>
        <w:spacing w:line="500" w:lineRule="atLeast"/>
        <w:rPr>
          <w:rFonts w:ascii="宋体" w:hAnsi="宋体"/>
          <w:color w:val="auto"/>
          <w:sz w:val="28"/>
          <w:szCs w:val="28"/>
        </w:rPr>
      </w:pPr>
    </w:p>
    <w:p>
      <w:pPr>
        <w:tabs>
          <w:tab w:val="left" w:pos="6300"/>
        </w:tabs>
        <w:snapToGrid w:val="0"/>
        <w:spacing w:line="360" w:lineRule="auto"/>
        <w:ind w:firstLine="747" w:firstLineChars="267"/>
        <w:rPr>
          <w:rFonts w:ascii="宋体" w:hAnsi="宋体"/>
          <w:color w:val="auto"/>
          <w:sz w:val="28"/>
          <w:szCs w:val="28"/>
        </w:rPr>
      </w:pPr>
      <w:r>
        <w:rPr>
          <w:rFonts w:hint="eastAsia" w:ascii="宋体" w:hAnsi="宋体"/>
          <w:color w:val="auto"/>
          <w:sz w:val="28"/>
          <w:szCs w:val="28"/>
          <w:u w:val="single"/>
        </w:rPr>
        <w:t>（法定代表人姓名）</w:t>
      </w:r>
      <w:r>
        <w:rPr>
          <w:rFonts w:hint="eastAsia" w:ascii="宋体" w:hAnsi="宋体"/>
          <w:color w:val="auto"/>
          <w:sz w:val="28"/>
          <w:szCs w:val="28"/>
        </w:rPr>
        <w:t>在</w:t>
      </w:r>
      <w:r>
        <w:rPr>
          <w:rFonts w:hint="eastAsia" w:ascii="宋体" w:hAnsi="宋体"/>
          <w:color w:val="auto"/>
          <w:sz w:val="28"/>
          <w:szCs w:val="28"/>
          <w:u w:val="single"/>
        </w:rPr>
        <w:t>（竞标人名称）</w:t>
      </w:r>
      <w:r>
        <w:rPr>
          <w:rFonts w:hint="eastAsia" w:ascii="宋体" w:hAnsi="宋体"/>
          <w:color w:val="auto"/>
          <w:sz w:val="28"/>
          <w:szCs w:val="28"/>
        </w:rPr>
        <w:t>任</w:t>
      </w:r>
      <w:r>
        <w:rPr>
          <w:rFonts w:hint="eastAsia" w:ascii="宋体" w:hAnsi="宋体"/>
          <w:color w:val="auto"/>
          <w:sz w:val="28"/>
          <w:szCs w:val="28"/>
          <w:u w:val="single"/>
        </w:rPr>
        <w:t>（职务名称）</w:t>
      </w:r>
      <w:r>
        <w:rPr>
          <w:rFonts w:hint="eastAsia" w:ascii="宋体" w:hAnsi="宋体"/>
          <w:color w:val="auto"/>
          <w:sz w:val="28"/>
          <w:szCs w:val="28"/>
        </w:rPr>
        <w:t>职务，是</w:t>
      </w:r>
      <w:r>
        <w:rPr>
          <w:rFonts w:ascii="宋体" w:hAnsi="宋体"/>
          <w:color w:val="auto"/>
          <w:sz w:val="28"/>
          <w:szCs w:val="28"/>
        </w:rPr>
        <w:t>__________________</w:t>
      </w:r>
      <w:r>
        <w:rPr>
          <w:rFonts w:hint="eastAsia" w:ascii="宋体" w:hAnsi="宋体"/>
          <w:color w:val="auto"/>
          <w:sz w:val="28"/>
          <w:szCs w:val="28"/>
        </w:rPr>
        <w:t>（竞标人名称）的法定代表人。</w:t>
      </w:r>
    </w:p>
    <w:p>
      <w:pPr>
        <w:tabs>
          <w:tab w:val="left" w:pos="6300"/>
        </w:tabs>
        <w:snapToGrid w:val="0"/>
        <w:spacing w:line="500" w:lineRule="atLeast"/>
        <w:ind w:firstLine="573"/>
        <w:rPr>
          <w:rFonts w:ascii="宋体" w:hAnsi="宋体"/>
          <w:color w:val="auto"/>
          <w:sz w:val="28"/>
          <w:szCs w:val="28"/>
        </w:rPr>
      </w:pPr>
    </w:p>
    <w:p>
      <w:pPr>
        <w:tabs>
          <w:tab w:val="left" w:pos="6300"/>
        </w:tabs>
        <w:snapToGrid w:val="0"/>
        <w:spacing w:line="500" w:lineRule="atLeast"/>
        <w:ind w:firstLine="573"/>
        <w:outlineLvl w:val="0"/>
        <w:rPr>
          <w:rFonts w:ascii="宋体" w:hAnsi="宋体"/>
          <w:color w:val="auto"/>
          <w:sz w:val="28"/>
          <w:szCs w:val="28"/>
        </w:rPr>
      </w:pPr>
      <w:r>
        <w:rPr>
          <w:rFonts w:hint="eastAsia" w:ascii="宋体" w:hAnsi="宋体"/>
          <w:color w:val="auto"/>
          <w:sz w:val="28"/>
          <w:szCs w:val="28"/>
        </w:rPr>
        <w:t>特此证明。</w:t>
      </w: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outlineLvl w:val="0"/>
        <w:rPr>
          <w:rFonts w:ascii="宋体" w:hAnsi="宋体"/>
          <w:color w:val="auto"/>
          <w:sz w:val="28"/>
          <w:szCs w:val="28"/>
        </w:rPr>
      </w:pP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 xml:space="preserve">                                             年    月    日</w:t>
      </w: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 xml:space="preserve">                                                （公章）</w:t>
      </w: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附：上述法定代表人住址：</w:t>
      </w: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 xml:space="preserve">            身份证号码：</w:t>
      </w: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 xml:space="preserve">              电    传：</w:t>
      </w: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 xml:space="preserve">              网    址：</w:t>
      </w:r>
    </w:p>
    <w:p>
      <w:pPr>
        <w:tabs>
          <w:tab w:val="left" w:pos="6300"/>
        </w:tabs>
        <w:snapToGrid w:val="0"/>
        <w:spacing w:line="400" w:lineRule="atLeast"/>
        <w:rPr>
          <w:rFonts w:ascii="宋体" w:hAnsi="宋体"/>
          <w:color w:val="auto"/>
          <w:sz w:val="28"/>
          <w:szCs w:val="28"/>
        </w:rPr>
      </w:pPr>
      <w:r>
        <w:rPr>
          <w:rFonts w:hint="eastAsia" w:ascii="宋体" w:hAnsi="宋体"/>
          <w:color w:val="auto"/>
          <w:sz w:val="28"/>
          <w:szCs w:val="28"/>
        </w:rPr>
        <w:t xml:space="preserve">              邮政编码：</w:t>
      </w:r>
    </w:p>
    <w:p>
      <w:pPr>
        <w:tabs>
          <w:tab w:val="left" w:pos="6300"/>
        </w:tabs>
        <w:snapToGrid w:val="0"/>
        <w:spacing w:line="400" w:lineRule="atLeast"/>
        <w:rPr>
          <w:rFonts w:ascii="宋体" w:hAnsi="宋体"/>
          <w:color w:val="auto"/>
          <w:sz w:val="28"/>
          <w:szCs w:val="28"/>
        </w:rPr>
      </w:pPr>
    </w:p>
    <w:p>
      <w:pPr>
        <w:tabs>
          <w:tab w:val="left" w:pos="6300"/>
        </w:tabs>
        <w:snapToGrid w:val="0"/>
        <w:spacing w:line="400" w:lineRule="atLeast"/>
        <w:rPr>
          <w:rFonts w:ascii="宋体" w:hAnsi="宋体"/>
          <w:color w:val="auto"/>
          <w:szCs w:val="28"/>
        </w:rPr>
      </w:pPr>
    </w:p>
    <w:p>
      <w:pPr>
        <w:tabs>
          <w:tab w:val="left" w:pos="6300"/>
        </w:tabs>
        <w:snapToGrid w:val="0"/>
        <w:spacing w:line="400" w:lineRule="atLeast"/>
        <w:rPr>
          <w:rFonts w:ascii="宋体" w:hAnsi="宋体"/>
          <w:color w:val="auto"/>
          <w:szCs w:val="28"/>
        </w:rPr>
      </w:pPr>
    </w:p>
    <w:p>
      <w:pPr>
        <w:tabs>
          <w:tab w:val="left" w:pos="6300"/>
        </w:tabs>
        <w:snapToGrid w:val="0"/>
        <w:spacing w:line="400" w:lineRule="atLeast"/>
        <w:rPr>
          <w:rFonts w:ascii="宋体" w:hAnsi="宋体"/>
          <w:color w:val="auto"/>
          <w:szCs w:val="28"/>
        </w:rPr>
      </w:pPr>
    </w:p>
    <w:p>
      <w:pPr>
        <w:snapToGrid w:val="0"/>
        <w:spacing w:line="360" w:lineRule="auto"/>
        <w:ind w:firstLine="420" w:firstLineChars="200"/>
        <w:rPr>
          <w:rFonts w:ascii="宋体" w:hAnsi="宋体"/>
          <w:color w:val="auto"/>
          <w:szCs w:val="28"/>
          <w:bdr w:val="single" w:color="auto" w:sz="4" w:space="0"/>
        </w:rPr>
        <w:sectPr>
          <w:headerReference r:id="rId3" w:type="default"/>
          <w:footerReference r:id="rId4" w:type="default"/>
          <w:pgSz w:w="11907" w:h="16840"/>
          <w:pgMar w:top="1418" w:right="1418" w:bottom="1418" w:left="1418" w:header="851" w:footer="992" w:gutter="0"/>
          <w:pgNumType w:fmt="numberInDash" w:start="0" w:chapStyle="2"/>
          <w:cols w:space="720" w:num="1"/>
          <w:titlePg/>
          <w:docGrid w:linePitch="380" w:charSpace="-5735"/>
        </w:sectPr>
      </w:pPr>
    </w:p>
    <w:p>
      <w:pPr>
        <w:pStyle w:val="4"/>
        <w:jc w:val="left"/>
        <w:rPr>
          <w:rFonts w:ascii="宋体" w:hAnsi="宋体" w:eastAsia="宋体"/>
          <w:color w:val="auto"/>
        </w:rPr>
      </w:pPr>
      <w:bookmarkStart w:id="25" w:name="_Toc12789076"/>
      <w:r>
        <w:rPr>
          <w:rFonts w:hint="eastAsia" w:ascii="宋体" w:hAnsi="宋体" w:eastAsia="宋体"/>
          <w:color w:val="auto"/>
        </w:rPr>
        <w:t>附录</w:t>
      </w:r>
      <w:bookmarkEnd w:id="25"/>
      <w:r>
        <w:rPr>
          <w:rFonts w:hint="eastAsia" w:ascii="宋体" w:hAnsi="宋体" w:eastAsia="宋体"/>
          <w:color w:val="auto"/>
        </w:rPr>
        <w:t>3</w:t>
      </w:r>
    </w:p>
    <w:p>
      <w:pPr>
        <w:tabs>
          <w:tab w:val="left" w:pos="6300"/>
        </w:tabs>
        <w:snapToGrid w:val="0"/>
        <w:spacing w:line="400" w:lineRule="atLeast"/>
        <w:jc w:val="center"/>
        <w:outlineLvl w:val="0"/>
        <w:rPr>
          <w:rFonts w:ascii="宋体" w:hAnsi="宋体"/>
          <w:b/>
          <w:color w:val="auto"/>
          <w:sz w:val="40"/>
          <w:szCs w:val="28"/>
        </w:rPr>
      </w:pPr>
      <w:r>
        <w:rPr>
          <w:rFonts w:hint="eastAsia" w:ascii="宋体" w:hAnsi="宋体"/>
          <w:color w:val="auto"/>
          <w:sz w:val="40"/>
          <w:szCs w:val="44"/>
        </w:rPr>
        <w:t>法</w:t>
      </w:r>
      <w:r>
        <w:rPr>
          <w:rFonts w:hint="eastAsia" w:ascii="宋体" w:hAnsi="宋体"/>
          <w:b/>
          <w:color w:val="auto"/>
          <w:sz w:val="40"/>
          <w:szCs w:val="28"/>
        </w:rPr>
        <w:t>定代表人授权委托书（格式）</w:t>
      </w:r>
    </w:p>
    <w:p>
      <w:pPr>
        <w:tabs>
          <w:tab w:val="left" w:pos="6300"/>
        </w:tabs>
        <w:snapToGrid w:val="0"/>
        <w:spacing w:line="500" w:lineRule="atLeast"/>
        <w:rPr>
          <w:rFonts w:ascii="宋体" w:hAnsi="宋体"/>
          <w:color w:val="auto"/>
          <w:sz w:val="28"/>
          <w:szCs w:val="28"/>
        </w:rPr>
      </w:pPr>
      <w:r>
        <w:rPr>
          <w:rFonts w:hint="eastAsia" w:ascii="宋体" w:hAnsi="宋体"/>
          <w:color w:val="auto"/>
          <w:sz w:val="28"/>
          <w:szCs w:val="28"/>
        </w:rPr>
        <w:t>项目名称：</w:t>
      </w:r>
      <w:r>
        <w:rPr>
          <w:rFonts w:ascii="宋体" w:hAnsi="宋体"/>
          <w:color w:val="auto"/>
          <w:sz w:val="28"/>
          <w:szCs w:val="28"/>
        </w:rPr>
        <w:t>_______________</w:t>
      </w:r>
    </w:p>
    <w:p>
      <w:pPr>
        <w:tabs>
          <w:tab w:val="left" w:pos="6300"/>
        </w:tabs>
        <w:snapToGrid w:val="0"/>
        <w:spacing w:line="500" w:lineRule="atLeast"/>
        <w:rPr>
          <w:rFonts w:ascii="宋体" w:hAnsi="宋体"/>
          <w:color w:val="auto"/>
          <w:sz w:val="28"/>
          <w:szCs w:val="28"/>
        </w:rPr>
      </w:pPr>
      <w:r>
        <w:rPr>
          <w:rFonts w:hint="eastAsia" w:ascii="宋体" w:hAnsi="宋体"/>
          <w:color w:val="auto"/>
          <w:sz w:val="28"/>
          <w:szCs w:val="28"/>
        </w:rPr>
        <w:t>日    期：</w:t>
      </w:r>
      <w:r>
        <w:rPr>
          <w:rFonts w:ascii="宋体" w:hAnsi="宋体"/>
          <w:color w:val="auto"/>
          <w:sz w:val="28"/>
          <w:szCs w:val="28"/>
        </w:rPr>
        <w:t>_______________</w:t>
      </w:r>
    </w:p>
    <w:p>
      <w:pPr>
        <w:tabs>
          <w:tab w:val="left" w:pos="6300"/>
        </w:tabs>
        <w:snapToGrid w:val="0"/>
        <w:spacing w:line="500" w:lineRule="atLeast"/>
        <w:rPr>
          <w:rFonts w:ascii="宋体" w:hAnsi="宋体"/>
          <w:color w:val="auto"/>
          <w:sz w:val="28"/>
          <w:szCs w:val="28"/>
        </w:rPr>
      </w:pPr>
      <w:r>
        <w:rPr>
          <w:rFonts w:hint="eastAsia" w:ascii="宋体" w:hAnsi="宋体"/>
          <w:color w:val="auto"/>
          <w:sz w:val="28"/>
          <w:szCs w:val="28"/>
        </w:rPr>
        <w:t>致：</w:t>
      </w:r>
      <w:r>
        <w:rPr>
          <w:rFonts w:ascii="宋体" w:hAnsi="宋体"/>
          <w:color w:val="auto"/>
          <w:sz w:val="28"/>
          <w:szCs w:val="28"/>
        </w:rPr>
        <w:t>_____________________</w:t>
      </w:r>
      <w:r>
        <w:rPr>
          <w:rFonts w:hint="eastAsia" w:ascii="宋体" w:hAnsi="宋体"/>
          <w:color w:val="auto"/>
          <w:sz w:val="28"/>
          <w:szCs w:val="28"/>
        </w:rPr>
        <w:t>（竞争性比选人名称）</w:t>
      </w:r>
    </w:p>
    <w:p>
      <w:pPr>
        <w:tabs>
          <w:tab w:val="left" w:pos="6300"/>
        </w:tabs>
        <w:snapToGrid w:val="0"/>
        <w:spacing w:line="500" w:lineRule="atLeast"/>
        <w:ind w:firstLine="555"/>
        <w:rPr>
          <w:rFonts w:ascii="宋体" w:hAnsi="宋体"/>
          <w:color w:val="auto"/>
          <w:sz w:val="28"/>
          <w:szCs w:val="28"/>
        </w:rPr>
      </w:pPr>
      <w:r>
        <w:rPr>
          <w:rFonts w:ascii="宋体" w:hAnsi="宋体"/>
          <w:color w:val="auto"/>
          <w:sz w:val="28"/>
          <w:szCs w:val="28"/>
        </w:rPr>
        <w:t>_____________________</w:t>
      </w:r>
      <w:r>
        <w:rPr>
          <w:rFonts w:hint="eastAsia" w:ascii="宋体" w:hAnsi="宋体"/>
          <w:color w:val="auto"/>
          <w:sz w:val="28"/>
          <w:szCs w:val="28"/>
        </w:rPr>
        <w:t>（竞标人名称）是中华人民共和国合法企业，法定地址</w:t>
      </w:r>
      <w:r>
        <w:rPr>
          <w:rFonts w:ascii="宋体" w:hAnsi="宋体"/>
          <w:color w:val="auto"/>
          <w:sz w:val="28"/>
          <w:szCs w:val="28"/>
        </w:rPr>
        <w:t>______________________________</w:t>
      </w:r>
      <w:r>
        <w:rPr>
          <w:rFonts w:hint="eastAsia" w:ascii="宋体" w:hAnsi="宋体"/>
          <w:color w:val="auto"/>
          <w:sz w:val="28"/>
          <w:szCs w:val="28"/>
        </w:rPr>
        <w:t>。</w:t>
      </w:r>
    </w:p>
    <w:p>
      <w:pPr>
        <w:tabs>
          <w:tab w:val="left" w:pos="6300"/>
        </w:tabs>
        <w:snapToGrid w:val="0"/>
        <w:spacing w:line="500" w:lineRule="atLeast"/>
        <w:ind w:firstLine="555"/>
        <w:rPr>
          <w:rFonts w:ascii="宋体" w:hAnsi="宋体"/>
          <w:color w:val="auto"/>
          <w:sz w:val="28"/>
          <w:szCs w:val="28"/>
        </w:rPr>
      </w:pPr>
      <w:r>
        <w:rPr>
          <w:rFonts w:ascii="宋体" w:hAnsi="宋体"/>
          <w:color w:val="auto"/>
          <w:sz w:val="28"/>
          <w:szCs w:val="28"/>
        </w:rPr>
        <w:t>_________</w:t>
      </w:r>
      <w:r>
        <w:rPr>
          <w:rFonts w:hint="eastAsia" w:ascii="宋体" w:hAnsi="宋体"/>
          <w:color w:val="auto"/>
          <w:sz w:val="28"/>
          <w:szCs w:val="28"/>
        </w:rPr>
        <w:t>（法定代表人姓名）特授权</w:t>
      </w:r>
      <w:r>
        <w:rPr>
          <w:rFonts w:ascii="宋体" w:hAnsi="宋体"/>
          <w:color w:val="auto"/>
          <w:sz w:val="28"/>
          <w:szCs w:val="28"/>
        </w:rPr>
        <w:t>_________</w:t>
      </w:r>
      <w:r>
        <w:rPr>
          <w:rFonts w:hint="eastAsia" w:ascii="宋体" w:hAnsi="宋体"/>
          <w:color w:val="auto"/>
          <w:sz w:val="28"/>
          <w:szCs w:val="28"/>
        </w:rPr>
        <w:t>（被授权人姓名及身份证代码）代表我单位全权办理对上述项目的比选、签约等具体工作，并签署全部有关的文件、协议及合同。</w:t>
      </w:r>
    </w:p>
    <w:p>
      <w:pPr>
        <w:tabs>
          <w:tab w:val="left" w:pos="6300"/>
        </w:tabs>
        <w:snapToGrid w:val="0"/>
        <w:spacing w:line="500" w:lineRule="atLeast"/>
        <w:ind w:firstLine="555"/>
        <w:rPr>
          <w:rFonts w:ascii="宋体" w:hAnsi="宋体"/>
          <w:color w:val="auto"/>
          <w:sz w:val="28"/>
          <w:szCs w:val="28"/>
        </w:rPr>
      </w:pPr>
      <w:r>
        <w:rPr>
          <w:rFonts w:hint="eastAsia" w:ascii="宋体" w:hAnsi="宋体"/>
          <w:color w:val="auto"/>
          <w:sz w:val="28"/>
          <w:szCs w:val="28"/>
        </w:rPr>
        <w:t>我单位对被授权人的签名负全部责任。</w:t>
      </w:r>
    </w:p>
    <w:p>
      <w:pPr>
        <w:tabs>
          <w:tab w:val="left" w:pos="6300"/>
        </w:tabs>
        <w:snapToGrid w:val="0"/>
        <w:spacing w:line="500" w:lineRule="atLeast"/>
        <w:ind w:firstLine="555"/>
        <w:rPr>
          <w:rFonts w:ascii="宋体" w:hAnsi="宋体"/>
          <w:color w:val="auto"/>
          <w:sz w:val="28"/>
          <w:szCs w:val="28"/>
        </w:rPr>
      </w:pPr>
      <w:r>
        <w:rPr>
          <w:rFonts w:hint="eastAsia" w:ascii="宋体" w:hAnsi="宋体"/>
          <w:color w:val="auto"/>
          <w:sz w:val="28"/>
          <w:szCs w:val="28"/>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宋体" w:hAnsi="宋体"/>
          <w:color w:val="auto"/>
          <w:sz w:val="28"/>
          <w:szCs w:val="28"/>
        </w:rPr>
      </w:pPr>
    </w:p>
    <w:p>
      <w:pPr>
        <w:tabs>
          <w:tab w:val="left" w:pos="6300"/>
        </w:tabs>
        <w:snapToGrid w:val="0"/>
        <w:spacing w:line="500" w:lineRule="atLeast"/>
        <w:rPr>
          <w:rFonts w:ascii="宋体" w:hAnsi="宋体"/>
          <w:color w:val="auto"/>
          <w:sz w:val="28"/>
          <w:szCs w:val="28"/>
        </w:rPr>
      </w:pPr>
      <w:r>
        <w:rPr>
          <w:rFonts w:hint="eastAsia" w:ascii="宋体" w:hAnsi="宋体"/>
          <w:color w:val="auto"/>
          <w:sz w:val="28"/>
          <w:szCs w:val="28"/>
        </w:rPr>
        <w:t>被授权人签名：                    法定代表人签名：</w:t>
      </w:r>
    </w:p>
    <w:p>
      <w:pPr>
        <w:tabs>
          <w:tab w:val="left" w:pos="6300"/>
        </w:tabs>
        <w:snapToGrid w:val="0"/>
        <w:spacing w:line="500" w:lineRule="atLeast"/>
        <w:rPr>
          <w:rFonts w:ascii="宋体" w:hAnsi="宋体"/>
          <w:color w:val="auto"/>
          <w:sz w:val="28"/>
          <w:szCs w:val="28"/>
        </w:rPr>
      </w:pPr>
      <w:r>
        <w:rPr>
          <w:rFonts w:hint="eastAsia" w:ascii="宋体" w:hAnsi="宋体"/>
          <w:color w:val="auto"/>
          <w:sz w:val="28"/>
          <w:szCs w:val="28"/>
        </w:rPr>
        <w:t xml:space="preserve">      职  务：                            职  务：</w:t>
      </w:r>
    </w:p>
    <w:p>
      <w:pPr>
        <w:snapToGrid w:val="0"/>
        <w:spacing w:line="360" w:lineRule="auto"/>
        <w:rPr>
          <w:rFonts w:ascii="宋体" w:hAnsi="宋体"/>
          <w:color w:val="auto"/>
          <w:sz w:val="28"/>
          <w:szCs w:val="28"/>
        </w:rPr>
      </w:pPr>
    </w:p>
    <w:p>
      <w:pPr>
        <w:snapToGrid w:val="0"/>
        <w:spacing w:line="360" w:lineRule="auto"/>
        <w:rPr>
          <w:rFonts w:ascii="宋体" w:hAnsi="宋体"/>
          <w:color w:val="auto"/>
          <w:sz w:val="28"/>
          <w:szCs w:val="28"/>
        </w:rPr>
      </w:pPr>
      <w:r>
        <w:rPr>
          <w:rFonts w:hint="eastAsia" w:ascii="宋体" w:hAnsi="宋体"/>
          <w:color w:val="auto"/>
          <w:sz w:val="28"/>
          <w:szCs w:val="28"/>
        </w:rPr>
        <w:t xml:space="preserve">                                           公章：</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color w:val="auto"/>
                <w:sz w:val="28"/>
                <w:szCs w:val="28"/>
              </w:rPr>
            </w:pPr>
            <w:r>
              <w:rPr>
                <w:rFonts w:hint="eastAsia"/>
                <w:color w:val="auto"/>
                <w:sz w:val="28"/>
                <w:szCs w:val="28"/>
              </w:rPr>
              <w:t>法定代表人身份证</w:t>
            </w:r>
          </w:p>
          <w:p>
            <w:pPr>
              <w:jc w:val="center"/>
              <w:rPr>
                <w:color w:val="auto"/>
                <w:sz w:val="28"/>
                <w:szCs w:val="28"/>
              </w:rPr>
            </w:pPr>
          </w:p>
          <w:p>
            <w:pPr>
              <w:jc w:val="center"/>
              <w:rPr>
                <w:color w:val="auto"/>
                <w:sz w:val="28"/>
                <w:szCs w:val="28"/>
              </w:rPr>
            </w:pPr>
            <w:r>
              <w:rPr>
                <w:rFonts w:hint="eastAsia"/>
                <w:color w:val="auto"/>
                <w:sz w:val="28"/>
                <w:szCs w:val="28"/>
              </w:rPr>
              <w:t>正反两面</w:t>
            </w:r>
          </w:p>
          <w:p>
            <w:pPr>
              <w:rPr>
                <w:color w:val="auto"/>
                <w:sz w:val="28"/>
                <w:szCs w:val="28"/>
              </w:rPr>
            </w:pPr>
          </w:p>
        </w:tc>
        <w:tc>
          <w:tcPr>
            <w:tcW w:w="4261" w:type="dxa"/>
          </w:tcPr>
          <w:p>
            <w:pPr>
              <w:jc w:val="center"/>
              <w:rPr>
                <w:color w:val="auto"/>
                <w:sz w:val="28"/>
                <w:szCs w:val="28"/>
              </w:rPr>
            </w:pPr>
            <w:r>
              <w:rPr>
                <w:rFonts w:hint="eastAsia"/>
                <w:color w:val="auto"/>
                <w:sz w:val="28"/>
                <w:szCs w:val="28"/>
              </w:rPr>
              <w:t>委托代理人身份证</w:t>
            </w:r>
          </w:p>
          <w:p>
            <w:pPr>
              <w:jc w:val="center"/>
              <w:rPr>
                <w:color w:val="auto"/>
                <w:sz w:val="28"/>
                <w:szCs w:val="28"/>
              </w:rPr>
            </w:pPr>
          </w:p>
          <w:p>
            <w:pPr>
              <w:jc w:val="center"/>
              <w:rPr>
                <w:color w:val="auto"/>
                <w:sz w:val="28"/>
                <w:szCs w:val="28"/>
              </w:rPr>
            </w:pPr>
            <w:r>
              <w:rPr>
                <w:rFonts w:hint="eastAsia"/>
                <w:color w:val="auto"/>
                <w:sz w:val="28"/>
                <w:szCs w:val="28"/>
              </w:rPr>
              <w:t>正反两面</w:t>
            </w:r>
          </w:p>
          <w:p>
            <w:pPr>
              <w:rPr>
                <w:color w:val="auto"/>
                <w:sz w:val="28"/>
                <w:szCs w:val="28"/>
              </w:rPr>
            </w:pPr>
          </w:p>
        </w:tc>
      </w:tr>
    </w:tbl>
    <w:p>
      <w:pPr>
        <w:tabs>
          <w:tab w:val="left" w:pos="6300"/>
        </w:tabs>
        <w:snapToGrid w:val="0"/>
        <w:spacing w:line="500" w:lineRule="exact"/>
        <w:jc w:val="left"/>
        <w:rPr>
          <w:rFonts w:ascii="宋体" w:hAnsi="宋体"/>
          <w:b/>
          <w:color w:val="auto"/>
          <w:sz w:val="28"/>
          <w:szCs w:val="28"/>
        </w:rPr>
      </w:pPr>
      <w:r>
        <w:rPr>
          <w:rFonts w:hint="eastAsia" w:ascii="宋体" w:hAnsi="宋体" w:cs="MingLiU"/>
          <w:color w:val="auto"/>
          <w:kern w:val="0"/>
        </w:rPr>
        <w:t>注：1、法定代表人参加投标活动并签署文件的不需要授权委托书，只需提供法定代表人身份证明；非法定代表人参加投标活动及签署文件的除提供法定代表人身份证明外还须提供授权委托书。</w:t>
      </w:r>
      <w:r>
        <w:rPr>
          <w:rFonts w:ascii="宋体" w:hAnsi="宋体"/>
          <w:color w:val="auto"/>
          <w:bdr w:val="single" w:color="auto" w:sz="4" w:space="0"/>
        </w:rPr>
        <w:br w:type="page"/>
      </w:r>
      <w:r>
        <w:rPr>
          <w:rFonts w:hint="eastAsia" w:ascii="宋体" w:hAnsi="宋体"/>
          <w:b/>
          <w:color w:val="auto"/>
          <w:sz w:val="28"/>
          <w:szCs w:val="28"/>
        </w:rPr>
        <w:t>附录4</w:t>
      </w:r>
    </w:p>
    <w:tbl>
      <w:tblPr>
        <w:tblStyle w:val="19"/>
        <w:tblpPr w:leftFromText="180" w:rightFromText="180" w:horzAnchor="margin" w:tblpY="1275"/>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517"/>
        <w:gridCol w:w="2268"/>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jc w:val="center"/>
              <w:rPr>
                <w:rFonts w:ascii="宋体" w:hAnsi="宋体" w:cs="宋体"/>
                <w:color w:val="auto"/>
                <w:sz w:val="28"/>
                <w:szCs w:val="28"/>
              </w:rPr>
            </w:pPr>
            <w:r>
              <w:rPr>
                <w:rFonts w:hint="eastAsia" w:ascii="宋体" w:hAnsi="宋体" w:cs="宋体"/>
                <w:color w:val="auto"/>
                <w:sz w:val="28"/>
                <w:szCs w:val="28"/>
              </w:rPr>
              <w:t>序号</w:t>
            </w:r>
          </w:p>
        </w:tc>
        <w:tc>
          <w:tcPr>
            <w:tcW w:w="1517" w:type="dxa"/>
            <w:shd w:val="clear" w:color="auto" w:fill="auto"/>
          </w:tcPr>
          <w:p>
            <w:pPr>
              <w:spacing w:line="300" w:lineRule="auto"/>
              <w:jc w:val="center"/>
              <w:rPr>
                <w:rFonts w:ascii="宋体" w:hAnsi="宋体" w:cs="宋体"/>
                <w:color w:val="auto"/>
                <w:sz w:val="28"/>
                <w:szCs w:val="28"/>
              </w:rPr>
            </w:pPr>
            <w:r>
              <w:rPr>
                <w:rFonts w:hint="eastAsia" w:ascii="宋体" w:hAnsi="宋体" w:cs="宋体"/>
                <w:color w:val="auto"/>
                <w:sz w:val="28"/>
                <w:szCs w:val="28"/>
              </w:rPr>
              <w:t>姓名</w:t>
            </w:r>
          </w:p>
        </w:tc>
        <w:tc>
          <w:tcPr>
            <w:tcW w:w="2268" w:type="dxa"/>
            <w:shd w:val="clear" w:color="auto" w:fill="auto"/>
          </w:tcPr>
          <w:p>
            <w:pPr>
              <w:spacing w:line="300" w:lineRule="auto"/>
              <w:jc w:val="center"/>
              <w:rPr>
                <w:rFonts w:ascii="宋体" w:hAnsi="宋体" w:cs="宋体"/>
                <w:color w:val="auto"/>
                <w:sz w:val="28"/>
                <w:szCs w:val="28"/>
              </w:rPr>
            </w:pPr>
            <w:r>
              <w:rPr>
                <w:rFonts w:hint="eastAsia" w:ascii="宋体" w:hAnsi="宋体" w:cs="宋体"/>
                <w:color w:val="auto"/>
                <w:sz w:val="28"/>
                <w:szCs w:val="28"/>
              </w:rPr>
              <w:t>资格证书</w:t>
            </w:r>
            <w:r>
              <w:rPr>
                <w:rFonts w:hint="eastAsia" w:ascii="宋体" w:hAnsi="宋体" w:cs="宋体"/>
                <w:color w:val="auto"/>
                <w:sz w:val="28"/>
                <w:szCs w:val="28"/>
                <w:lang w:val="en-US" w:eastAsia="zh-CN"/>
              </w:rPr>
              <w:t>及</w:t>
            </w:r>
            <w:r>
              <w:rPr>
                <w:rFonts w:hint="eastAsia" w:ascii="宋体" w:hAnsi="宋体" w:cs="宋体"/>
                <w:color w:val="auto"/>
                <w:sz w:val="28"/>
                <w:szCs w:val="28"/>
              </w:rPr>
              <w:t>编号</w:t>
            </w:r>
          </w:p>
        </w:tc>
        <w:tc>
          <w:tcPr>
            <w:tcW w:w="1701" w:type="dxa"/>
            <w:shd w:val="clear" w:color="auto" w:fill="auto"/>
          </w:tcPr>
          <w:p>
            <w:pPr>
              <w:spacing w:line="300" w:lineRule="auto"/>
              <w:jc w:val="center"/>
              <w:rPr>
                <w:rFonts w:ascii="宋体" w:hAnsi="宋体" w:cs="宋体"/>
                <w:color w:val="auto"/>
                <w:sz w:val="28"/>
                <w:szCs w:val="28"/>
              </w:rPr>
            </w:pPr>
            <w:r>
              <w:rPr>
                <w:rFonts w:hint="eastAsia" w:ascii="宋体" w:hAnsi="宋体" w:cs="宋体"/>
                <w:color w:val="auto"/>
                <w:sz w:val="28"/>
                <w:szCs w:val="28"/>
              </w:rPr>
              <w:t>身份证号码</w:t>
            </w:r>
          </w:p>
        </w:tc>
        <w:tc>
          <w:tcPr>
            <w:tcW w:w="1985" w:type="dxa"/>
            <w:shd w:val="clear" w:color="auto" w:fill="auto"/>
          </w:tcPr>
          <w:p>
            <w:pPr>
              <w:spacing w:line="300" w:lineRule="auto"/>
              <w:jc w:val="center"/>
              <w:rPr>
                <w:rFonts w:ascii="宋体" w:hAnsi="宋体" w:cs="宋体"/>
                <w:color w:val="auto"/>
                <w:sz w:val="28"/>
                <w:szCs w:val="28"/>
              </w:rPr>
            </w:pPr>
            <w:r>
              <w:rPr>
                <w:rFonts w:hint="eastAsia" w:ascii="宋体" w:hAnsi="宋体" w:cs="宋体"/>
                <w:color w:val="auto"/>
                <w:sz w:val="28"/>
                <w:szCs w:val="28"/>
              </w:rPr>
              <w:t>社保个人编码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rPr>
            </w:pPr>
          </w:p>
        </w:tc>
        <w:tc>
          <w:tcPr>
            <w:tcW w:w="1517" w:type="dxa"/>
            <w:shd w:val="clear" w:color="auto" w:fill="auto"/>
          </w:tcPr>
          <w:p>
            <w:pPr>
              <w:spacing w:line="300" w:lineRule="auto"/>
              <w:rPr>
                <w:rFonts w:ascii="仿宋" w:hAnsi="仿宋" w:eastAsia="仿宋"/>
                <w:color w:val="auto"/>
                <w:szCs w:val="21"/>
              </w:rPr>
            </w:pPr>
          </w:p>
        </w:tc>
        <w:tc>
          <w:tcPr>
            <w:tcW w:w="2268" w:type="dxa"/>
            <w:shd w:val="clear" w:color="auto" w:fill="auto"/>
          </w:tcPr>
          <w:p>
            <w:pPr>
              <w:spacing w:line="300" w:lineRule="auto"/>
              <w:rPr>
                <w:rFonts w:ascii="仿宋" w:hAnsi="仿宋" w:eastAsia="仿宋"/>
                <w:color w:val="auto"/>
                <w:szCs w:val="21"/>
              </w:rPr>
            </w:pPr>
          </w:p>
        </w:tc>
        <w:tc>
          <w:tcPr>
            <w:tcW w:w="1701" w:type="dxa"/>
            <w:shd w:val="clear" w:color="auto" w:fill="auto"/>
          </w:tcPr>
          <w:p>
            <w:pPr>
              <w:spacing w:line="300" w:lineRule="auto"/>
              <w:rPr>
                <w:rFonts w:ascii="仿宋" w:hAnsi="仿宋" w:eastAsia="仿宋"/>
                <w:color w:val="auto"/>
                <w:szCs w:val="21"/>
              </w:rPr>
            </w:pPr>
          </w:p>
        </w:tc>
        <w:tc>
          <w:tcPr>
            <w:tcW w:w="1985" w:type="dxa"/>
            <w:shd w:val="clear" w:color="auto" w:fill="auto"/>
          </w:tcPr>
          <w:p>
            <w:pPr>
              <w:spacing w:line="300" w:lineRule="auto"/>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rPr>
            </w:pPr>
          </w:p>
        </w:tc>
        <w:tc>
          <w:tcPr>
            <w:tcW w:w="1517" w:type="dxa"/>
            <w:shd w:val="clear" w:color="auto" w:fill="auto"/>
          </w:tcPr>
          <w:p>
            <w:pPr>
              <w:spacing w:line="300" w:lineRule="auto"/>
              <w:rPr>
                <w:rFonts w:ascii="仿宋" w:hAnsi="仿宋" w:eastAsia="仿宋"/>
                <w:color w:val="auto"/>
                <w:szCs w:val="21"/>
              </w:rPr>
            </w:pPr>
          </w:p>
        </w:tc>
        <w:tc>
          <w:tcPr>
            <w:tcW w:w="2268" w:type="dxa"/>
            <w:shd w:val="clear" w:color="auto" w:fill="auto"/>
          </w:tcPr>
          <w:p>
            <w:pPr>
              <w:spacing w:line="300" w:lineRule="auto"/>
              <w:rPr>
                <w:rFonts w:ascii="仿宋" w:hAnsi="仿宋" w:eastAsia="仿宋"/>
                <w:color w:val="auto"/>
                <w:szCs w:val="21"/>
              </w:rPr>
            </w:pPr>
          </w:p>
        </w:tc>
        <w:tc>
          <w:tcPr>
            <w:tcW w:w="1701" w:type="dxa"/>
            <w:shd w:val="clear" w:color="auto" w:fill="auto"/>
          </w:tcPr>
          <w:p>
            <w:pPr>
              <w:spacing w:line="300" w:lineRule="auto"/>
              <w:rPr>
                <w:rFonts w:ascii="仿宋" w:hAnsi="仿宋" w:eastAsia="仿宋"/>
                <w:color w:val="auto"/>
                <w:szCs w:val="21"/>
              </w:rPr>
            </w:pPr>
          </w:p>
        </w:tc>
        <w:tc>
          <w:tcPr>
            <w:tcW w:w="1985" w:type="dxa"/>
            <w:shd w:val="clear" w:color="auto" w:fill="auto"/>
          </w:tcPr>
          <w:p>
            <w:pPr>
              <w:spacing w:line="300" w:lineRule="auto"/>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rPr>
            </w:pPr>
          </w:p>
        </w:tc>
        <w:tc>
          <w:tcPr>
            <w:tcW w:w="1517" w:type="dxa"/>
            <w:shd w:val="clear" w:color="auto" w:fill="auto"/>
          </w:tcPr>
          <w:p>
            <w:pPr>
              <w:spacing w:line="300" w:lineRule="auto"/>
              <w:rPr>
                <w:rFonts w:ascii="仿宋" w:hAnsi="仿宋" w:eastAsia="仿宋"/>
                <w:color w:val="auto"/>
                <w:szCs w:val="21"/>
              </w:rPr>
            </w:pPr>
          </w:p>
        </w:tc>
        <w:tc>
          <w:tcPr>
            <w:tcW w:w="2268" w:type="dxa"/>
            <w:shd w:val="clear" w:color="auto" w:fill="auto"/>
          </w:tcPr>
          <w:p>
            <w:pPr>
              <w:spacing w:line="300" w:lineRule="auto"/>
              <w:rPr>
                <w:rFonts w:ascii="仿宋" w:hAnsi="仿宋" w:eastAsia="仿宋"/>
                <w:color w:val="auto"/>
                <w:szCs w:val="21"/>
              </w:rPr>
            </w:pPr>
          </w:p>
        </w:tc>
        <w:tc>
          <w:tcPr>
            <w:tcW w:w="1701" w:type="dxa"/>
            <w:shd w:val="clear" w:color="auto" w:fill="auto"/>
          </w:tcPr>
          <w:p>
            <w:pPr>
              <w:spacing w:line="300" w:lineRule="auto"/>
              <w:rPr>
                <w:rFonts w:ascii="仿宋" w:hAnsi="仿宋" w:eastAsia="仿宋"/>
                <w:color w:val="auto"/>
                <w:szCs w:val="21"/>
              </w:rPr>
            </w:pPr>
          </w:p>
        </w:tc>
        <w:tc>
          <w:tcPr>
            <w:tcW w:w="1985" w:type="dxa"/>
            <w:shd w:val="clear" w:color="auto" w:fill="auto"/>
          </w:tcPr>
          <w:p>
            <w:pPr>
              <w:spacing w:line="300" w:lineRule="auto"/>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shd w:val="clear" w:color="auto" w:fill="auto"/>
          </w:tcPr>
          <w:p>
            <w:pPr>
              <w:spacing w:line="300" w:lineRule="auto"/>
              <w:rPr>
                <w:rFonts w:ascii="仿宋" w:hAnsi="仿宋" w:eastAsia="仿宋"/>
                <w:color w:val="auto"/>
                <w:szCs w:val="21"/>
              </w:rPr>
            </w:pPr>
          </w:p>
        </w:tc>
        <w:tc>
          <w:tcPr>
            <w:tcW w:w="1517" w:type="dxa"/>
            <w:shd w:val="clear" w:color="auto" w:fill="auto"/>
          </w:tcPr>
          <w:p>
            <w:pPr>
              <w:spacing w:line="300" w:lineRule="auto"/>
              <w:rPr>
                <w:rFonts w:ascii="仿宋" w:hAnsi="仿宋" w:eastAsia="仿宋"/>
                <w:color w:val="auto"/>
                <w:szCs w:val="21"/>
              </w:rPr>
            </w:pPr>
          </w:p>
        </w:tc>
        <w:tc>
          <w:tcPr>
            <w:tcW w:w="2268" w:type="dxa"/>
            <w:shd w:val="clear" w:color="auto" w:fill="auto"/>
          </w:tcPr>
          <w:p>
            <w:pPr>
              <w:spacing w:line="300" w:lineRule="auto"/>
              <w:rPr>
                <w:rFonts w:ascii="仿宋" w:hAnsi="仿宋" w:eastAsia="仿宋"/>
                <w:color w:val="auto"/>
                <w:szCs w:val="21"/>
              </w:rPr>
            </w:pPr>
          </w:p>
        </w:tc>
        <w:tc>
          <w:tcPr>
            <w:tcW w:w="1701" w:type="dxa"/>
            <w:shd w:val="clear" w:color="auto" w:fill="auto"/>
          </w:tcPr>
          <w:p>
            <w:pPr>
              <w:spacing w:line="300" w:lineRule="auto"/>
              <w:rPr>
                <w:rFonts w:ascii="仿宋" w:hAnsi="仿宋" w:eastAsia="仿宋"/>
                <w:color w:val="auto"/>
                <w:szCs w:val="21"/>
              </w:rPr>
            </w:pPr>
          </w:p>
        </w:tc>
        <w:tc>
          <w:tcPr>
            <w:tcW w:w="1985" w:type="dxa"/>
            <w:shd w:val="clear" w:color="auto" w:fill="auto"/>
          </w:tcPr>
          <w:p>
            <w:pPr>
              <w:spacing w:line="300" w:lineRule="auto"/>
              <w:rPr>
                <w:rFonts w:ascii="仿宋" w:hAnsi="仿宋" w:eastAsia="仿宋"/>
                <w:color w:val="auto"/>
                <w:szCs w:val="21"/>
              </w:rPr>
            </w:pPr>
          </w:p>
        </w:tc>
      </w:tr>
    </w:tbl>
    <w:p>
      <w:pPr>
        <w:tabs>
          <w:tab w:val="left" w:pos="6300"/>
        </w:tabs>
        <w:snapToGrid w:val="0"/>
        <w:spacing w:line="400" w:lineRule="atLeast"/>
        <w:jc w:val="center"/>
        <w:outlineLvl w:val="0"/>
        <w:rPr>
          <w:rFonts w:ascii="宋体" w:hAnsi="宋体"/>
          <w:b/>
          <w:color w:val="auto"/>
          <w:sz w:val="40"/>
          <w:szCs w:val="28"/>
        </w:rPr>
      </w:pPr>
      <w:r>
        <w:rPr>
          <w:rFonts w:hint="eastAsia" w:ascii="宋体" w:hAnsi="宋体"/>
          <w:b/>
          <w:color w:val="auto"/>
          <w:sz w:val="40"/>
          <w:szCs w:val="28"/>
          <w:lang w:val="en-US" w:eastAsia="zh-CN"/>
        </w:rPr>
        <w:t>监理</w:t>
      </w:r>
      <w:r>
        <w:rPr>
          <w:rFonts w:hint="eastAsia" w:ascii="宋体" w:hAnsi="宋体"/>
          <w:b/>
          <w:color w:val="auto"/>
          <w:sz w:val="40"/>
          <w:szCs w:val="28"/>
        </w:rPr>
        <w:t>人员附表</w:t>
      </w:r>
      <w:r>
        <w:rPr>
          <w:rFonts w:hint="eastAsia" w:ascii="宋体" w:hAnsi="宋体"/>
          <w:color w:val="auto"/>
          <w:sz w:val="28"/>
          <w:szCs w:val="28"/>
        </w:rPr>
        <w:t>（竞标人公章）</w:t>
      </w:r>
    </w:p>
    <w:p>
      <w:pPr>
        <w:pStyle w:val="4"/>
        <w:rPr>
          <w:rFonts w:ascii="宋体" w:hAnsi="宋体"/>
          <w:color w:val="auto"/>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pStyle w:val="4"/>
        <w:rPr>
          <w:rFonts w:ascii="宋体" w:hAnsi="宋体" w:eastAsia="宋体"/>
          <w:color w:val="auto"/>
        </w:rPr>
      </w:pPr>
      <w:r>
        <w:rPr>
          <w:rFonts w:hint="eastAsia" w:ascii="宋体" w:hAnsi="宋体" w:eastAsia="宋体"/>
          <w:color w:val="auto"/>
        </w:rPr>
        <w:t>附录5</w:t>
      </w:r>
    </w:p>
    <w:p>
      <w:pPr>
        <w:tabs>
          <w:tab w:val="left" w:pos="6300"/>
        </w:tabs>
        <w:snapToGrid w:val="0"/>
        <w:spacing w:line="400" w:lineRule="atLeast"/>
        <w:jc w:val="center"/>
        <w:outlineLvl w:val="0"/>
        <w:rPr>
          <w:rFonts w:ascii="宋体" w:hAnsi="宋体"/>
          <w:color w:val="auto"/>
          <w:sz w:val="44"/>
          <w:szCs w:val="28"/>
        </w:rPr>
      </w:pPr>
      <w:r>
        <w:rPr>
          <w:rFonts w:hint="eastAsia" w:ascii="宋体" w:hAnsi="宋体"/>
          <w:b/>
          <w:color w:val="auto"/>
          <w:sz w:val="40"/>
          <w:szCs w:val="28"/>
        </w:rPr>
        <w:t>诚信声明（格式）</w:t>
      </w:r>
    </w:p>
    <w:p>
      <w:pPr>
        <w:snapToGrid w:val="0"/>
        <w:spacing w:line="360" w:lineRule="auto"/>
        <w:rPr>
          <w:rFonts w:ascii="宋体" w:hAnsi="宋体"/>
          <w:b/>
          <w:color w:val="auto"/>
          <w:szCs w:val="28"/>
          <w:bdr w:val="single" w:color="auto" w:sz="4" w:space="0"/>
        </w:rPr>
      </w:pPr>
    </w:p>
    <w:p>
      <w:pPr>
        <w:tabs>
          <w:tab w:val="left" w:pos="6300"/>
        </w:tabs>
        <w:snapToGrid w:val="0"/>
        <w:spacing w:line="500" w:lineRule="exact"/>
        <w:ind w:firstLine="560" w:firstLineChars="200"/>
        <w:rPr>
          <w:rFonts w:ascii="宋体" w:hAnsi="宋体"/>
          <w:color w:val="auto"/>
          <w:sz w:val="28"/>
          <w:szCs w:val="28"/>
          <w:u w:val="single"/>
        </w:rPr>
      </w:pPr>
      <w:r>
        <w:rPr>
          <w:rFonts w:hint="eastAsia" w:ascii="宋体" w:hAnsi="宋体"/>
          <w:color w:val="auto"/>
          <w:sz w:val="28"/>
          <w:szCs w:val="28"/>
        </w:rPr>
        <w:t>比选项目名称：</w:t>
      </w:r>
    </w:p>
    <w:p>
      <w:pPr>
        <w:tabs>
          <w:tab w:val="left" w:pos="6300"/>
        </w:tabs>
        <w:snapToGrid w:val="0"/>
        <w:spacing w:line="500" w:lineRule="exact"/>
        <w:rPr>
          <w:rFonts w:ascii="宋体" w:hAnsi="宋体"/>
          <w:color w:val="auto"/>
          <w:sz w:val="28"/>
          <w:szCs w:val="28"/>
        </w:rPr>
      </w:pPr>
    </w:p>
    <w:p>
      <w:pPr>
        <w:tabs>
          <w:tab w:val="left" w:pos="6300"/>
        </w:tabs>
        <w:snapToGrid w:val="0"/>
        <w:spacing w:line="500" w:lineRule="exact"/>
        <w:jc w:val="left"/>
        <w:rPr>
          <w:rFonts w:ascii="宋体" w:hAnsi="宋体"/>
          <w:color w:val="auto"/>
          <w:sz w:val="28"/>
          <w:szCs w:val="28"/>
        </w:rPr>
      </w:pPr>
      <w:r>
        <w:rPr>
          <w:rFonts w:hint="eastAsia" w:ascii="宋体" w:hAnsi="宋体"/>
          <w:color w:val="auto"/>
          <w:sz w:val="28"/>
          <w:szCs w:val="28"/>
        </w:rPr>
        <w:t>致：</w:t>
      </w:r>
      <w:r>
        <w:rPr>
          <w:rFonts w:hint="eastAsia" w:ascii="宋体" w:hAnsi="宋体"/>
          <w:color w:val="auto"/>
          <w:sz w:val="28"/>
          <w:szCs w:val="28"/>
          <w:u w:val="single"/>
        </w:rPr>
        <w:t xml:space="preserve">         </w:t>
      </w:r>
      <w:r>
        <w:rPr>
          <w:rFonts w:hint="eastAsia" w:ascii="宋体" w:hAnsi="宋体"/>
          <w:color w:val="auto"/>
          <w:sz w:val="28"/>
          <w:szCs w:val="28"/>
        </w:rPr>
        <w:t>（比选单位）：</w:t>
      </w:r>
    </w:p>
    <w:p>
      <w:pPr>
        <w:pStyle w:val="40"/>
        <w:spacing w:line="440" w:lineRule="exact"/>
        <w:ind w:firstLine="560" w:firstLineChars="200"/>
        <w:jc w:val="left"/>
        <w:rPr>
          <w:rFonts w:hAnsi="宋体"/>
          <w:b w:val="0"/>
          <w:color w:val="auto"/>
          <w:sz w:val="28"/>
          <w:szCs w:val="28"/>
        </w:rPr>
      </w:pPr>
      <w:r>
        <w:rPr>
          <w:rFonts w:hint="eastAsia" w:hAnsi="宋体"/>
          <w:b w:val="0"/>
          <w:color w:val="auto"/>
          <w:sz w:val="28"/>
          <w:szCs w:val="28"/>
          <w:u w:val="single"/>
        </w:rPr>
        <w:t xml:space="preserve">        </w:t>
      </w:r>
      <w:r>
        <w:rPr>
          <w:rFonts w:hint="eastAsia" w:hAnsi="宋体"/>
          <w:b w:val="0"/>
          <w:color w:val="auto"/>
          <w:sz w:val="28"/>
          <w:szCs w:val="28"/>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ascii="宋体" w:hAnsi="宋体"/>
          <w:color w:val="auto"/>
          <w:sz w:val="28"/>
          <w:szCs w:val="28"/>
        </w:rPr>
      </w:pPr>
      <w:r>
        <w:rPr>
          <w:rFonts w:hint="eastAsia" w:ascii="宋体" w:hAnsi="宋体"/>
          <w:color w:val="auto"/>
          <w:sz w:val="28"/>
          <w:szCs w:val="28"/>
        </w:rPr>
        <w:t xml:space="preserve">    特此声明。</w:t>
      </w:r>
    </w:p>
    <w:p>
      <w:pPr>
        <w:tabs>
          <w:tab w:val="left" w:pos="6300"/>
        </w:tabs>
        <w:snapToGrid w:val="0"/>
        <w:spacing w:line="500" w:lineRule="exact"/>
        <w:rPr>
          <w:rFonts w:ascii="宋体" w:hAnsi="宋体"/>
          <w:color w:val="auto"/>
          <w:sz w:val="28"/>
          <w:szCs w:val="28"/>
        </w:rPr>
      </w:pPr>
    </w:p>
    <w:p>
      <w:pPr>
        <w:tabs>
          <w:tab w:val="left" w:pos="6300"/>
        </w:tabs>
        <w:snapToGrid w:val="0"/>
        <w:spacing w:line="500" w:lineRule="exact"/>
        <w:rPr>
          <w:rFonts w:ascii="宋体" w:hAnsi="宋体"/>
          <w:color w:val="auto"/>
          <w:sz w:val="28"/>
          <w:szCs w:val="28"/>
        </w:rPr>
      </w:pPr>
    </w:p>
    <w:p>
      <w:pPr>
        <w:tabs>
          <w:tab w:val="left" w:pos="6300"/>
        </w:tabs>
        <w:snapToGrid w:val="0"/>
        <w:spacing w:line="500" w:lineRule="exact"/>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r>
        <w:rPr>
          <w:rFonts w:hint="eastAsia" w:ascii="宋体" w:hAnsi="宋体"/>
          <w:color w:val="auto"/>
          <w:sz w:val="28"/>
          <w:szCs w:val="28"/>
        </w:rPr>
        <w:t>（竞标人公章）</w:t>
      </w: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p>
      <w:pPr>
        <w:tabs>
          <w:tab w:val="left" w:pos="6300"/>
        </w:tabs>
        <w:snapToGrid w:val="0"/>
        <w:spacing w:line="500" w:lineRule="exact"/>
        <w:ind w:firstLine="6160" w:firstLineChars="2200"/>
        <w:rPr>
          <w:rFonts w:ascii="宋体" w:hAnsi="宋体"/>
          <w:color w:val="auto"/>
          <w:sz w:val="28"/>
          <w:szCs w:val="28"/>
        </w:rPr>
      </w:pPr>
    </w:p>
    <w:sectPr>
      <w:headerReference r:id="rId5" w:type="default"/>
      <w:footerReference r:id="rId6" w:type="default"/>
      <w:footerReference r:id="rId7" w:type="even"/>
      <w:pgSz w:w="11906" w:h="16838"/>
      <w:pgMar w:top="1418" w:right="141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3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 w:val="clear" w:pos="8306"/>
      </w:tabs>
      <w:jc w:val="cente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1 -</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pacing w:line="500" w:lineRule="exact"/>
      <w:rPr>
        <w:sz w:val="32"/>
        <w:szCs w:val="20"/>
      </w:rPr>
    </w:pPr>
    <w:r>
      <w:rPr>
        <w:rFonts w:hint="eastAsia"/>
        <w:sz w:val="20"/>
        <w:szCs w:val="18"/>
      </w:rPr>
      <w:t>重庆市中医骨科医院整体迁建项目竞争性比选文件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0B621"/>
    <w:multiLevelType w:val="singleLevel"/>
    <w:tmpl w:val="8B20B621"/>
    <w:lvl w:ilvl="0" w:tentative="0">
      <w:start w:val="1"/>
      <w:numFmt w:val="decimal"/>
      <w:suff w:val="nothing"/>
      <w:lvlText w:val="（%1）"/>
      <w:lvlJc w:val="left"/>
      <w:pPr>
        <w:ind w:left="-8"/>
      </w:pPr>
    </w:lvl>
  </w:abstractNum>
  <w:abstractNum w:abstractNumId="1">
    <w:nsid w:val="2C43F114"/>
    <w:multiLevelType w:val="singleLevel"/>
    <w:tmpl w:val="2C43F114"/>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2ZDljMTY1NzNhNTFmNDA0MzJlOWEyM2EzNjBiNzYifQ=="/>
  </w:docVars>
  <w:rsids>
    <w:rsidRoot w:val="00610B8A"/>
    <w:rsid w:val="0000333F"/>
    <w:rsid w:val="00003A7A"/>
    <w:rsid w:val="000053BB"/>
    <w:rsid w:val="000075AE"/>
    <w:rsid w:val="00010599"/>
    <w:rsid w:val="00011A7F"/>
    <w:rsid w:val="000166D0"/>
    <w:rsid w:val="00016F4A"/>
    <w:rsid w:val="0002060F"/>
    <w:rsid w:val="000207D1"/>
    <w:rsid w:val="000213FA"/>
    <w:rsid w:val="00031920"/>
    <w:rsid w:val="00032041"/>
    <w:rsid w:val="00032FF2"/>
    <w:rsid w:val="00041CC8"/>
    <w:rsid w:val="000422A9"/>
    <w:rsid w:val="000470DD"/>
    <w:rsid w:val="00050BC2"/>
    <w:rsid w:val="00057464"/>
    <w:rsid w:val="000602BB"/>
    <w:rsid w:val="00060478"/>
    <w:rsid w:val="0006052D"/>
    <w:rsid w:val="000606A0"/>
    <w:rsid w:val="0006263B"/>
    <w:rsid w:val="00064322"/>
    <w:rsid w:val="00065B26"/>
    <w:rsid w:val="00066AE4"/>
    <w:rsid w:val="0007301A"/>
    <w:rsid w:val="0007489E"/>
    <w:rsid w:val="00082825"/>
    <w:rsid w:val="00085922"/>
    <w:rsid w:val="000865A9"/>
    <w:rsid w:val="000936DB"/>
    <w:rsid w:val="000B24C9"/>
    <w:rsid w:val="000B30CB"/>
    <w:rsid w:val="000B40A4"/>
    <w:rsid w:val="000B4486"/>
    <w:rsid w:val="000B618A"/>
    <w:rsid w:val="000B6AB2"/>
    <w:rsid w:val="000C0553"/>
    <w:rsid w:val="000C0E73"/>
    <w:rsid w:val="000C3256"/>
    <w:rsid w:val="000C5C7F"/>
    <w:rsid w:val="000C6D8E"/>
    <w:rsid w:val="000D0C8E"/>
    <w:rsid w:val="000D223E"/>
    <w:rsid w:val="000D5288"/>
    <w:rsid w:val="000D5A2F"/>
    <w:rsid w:val="000D6304"/>
    <w:rsid w:val="000E1B87"/>
    <w:rsid w:val="000E3868"/>
    <w:rsid w:val="000F2165"/>
    <w:rsid w:val="000F4CC6"/>
    <w:rsid w:val="000F6FB8"/>
    <w:rsid w:val="001028BE"/>
    <w:rsid w:val="00105164"/>
    <w:rsid w:val="00111A33"/>
    <w:rsid w:val="00115A58"/>
    <w:rsid w:val="00120006"/>
    <w:rsid w:val="00120A68"/>
    <w:rsid w:val="0012147D"/>
    <w:rsid w:val="001218B1"/>
    <w:rsid w:val="00123808"/>
    <w:rsid w:val="0013369E"/>
    <w:rsid w:val="00133749"/>
    <w:rsid w:val="00134BAB"/>
    <w:rsid w:val="0014218D"/>
    <w:rsid w:val="00142FF3"/>
    <w:rsid w:val="0014429B"/>
    <w:rsid w:val="00144432"/>
    <w:rsid w:val="00145EDB"/>
    <w:rsid w:val="00154352"/>
    <w:rsid w:val="00157F8C"/>
    <w:rsid w:val="00161860"/>
    <w:rsid w:val="00165537"/>
    <w:rsid w:val="0016707A"/>
    <w:rsid w:val="001705FD"/>
    <w:rsid w:val="001811AA"/>
    <w:rsid w:val="001816F9"/>
    <w:rsid w:val="00182AB1"/>
    <w:rsid w:val="00184EAC"/>
    <w:rsid w:val="00185533"/>
    <w:rsid w:val="0018583A"/>
    <w:rsid w:val="00196F90"/>
    <w:rsid w:val="001A0241"/>
    <w:rsid w:val="001A11A4"/>
    <w:rsid w:val="001A1658"/>
    <w:rsid w:val="001A302C"/>
    <w:rsid w:val="001A31CA"/>
    <w:rsid w:val="001A5527"/>
    <w:rsid w:val="001A7474"/>
    <w:rsid w:val="001A7FDB"/>
    <w:rsid w:val="001B0552"/>
    <w:rsid w:val="001B4417"/>
    <w:rsid w:val="001B5940"/>
    <w:rsid w:val="001B66C1"/>
    <w:rsid w:val="001C0459"/>
    <w:rsid w:val="001C07BC"/>
    <w:rsid w:val="001C4C67"/>
    <w:rsid w:val="001C61EC"/>
    <w:rsid w:val="001D2108"/>
    <w:rsid w:val="001D32A8"/>
    <w:rsid w:val="001D4903"/>
    <w:rsid w:val="001E2FCF"/>
    <w:rsid w:val="001E3AFB"/>
    <w:rsid w:val="001E6C89"/>
    <w:rsid w:val="001E7938"/>
    <w:rsid w:val="001F1034"/>
    <w:rsid w:val="001F5F2C"/>
    <w:rsid w:val="00200675"/>
    <w:rsid w:val="00204415"/>
    <w:rsid w:val="002119DA"/>
    <w:rsid w:val="00215388"/>
    <w:rsid w:val="00221D4C"/>
    <w:rsid w:val="00223D0E"/>
    <w:rsid w:val="00233265"/>
    <w:rsid w:val="00234F25"/>
    <w:rsid w:val="00235378"/>
    <w:rsid w:val="00237020"/>
    <w:rsid w:val="002412A8"/>
    <w:rsid w:val="00244A61"/>
    <w:rsid w:val="00246262"/>
    <w:rsid w:val="00250496"/>
    <w:rsid w:val="002516E8"/>
    <w:rsid w:val="00252682"/>
    <w:rsid w:val="00255E71"/>
    <w:rsid w:val="00257880"/>
    <w:rsid w:val="00257DC4"/>
    <w:rsid w:val="0026189A"/>
    <w:rsid w:val="002660A1"/>
    <w:rsid w:val="0026665A"/>
    <w:rsid w:val="0026675C"/>
    <w:rsid w:val="002713F0"/>
    <w:rsid w:val="00273E69"/>
    <w:rsid w:val="00277BAD"/>
    <w:rsid w:val="002850EA"/>
    <w:rsid w:val="00286F05"/>
    <w:rsid w:val="002A04DC"/>
    <w:rsid w:val="002A0BC8"/>
    <w:rsid w:val="002A1D41"/>
    <w:rsid w:val="002A4CE2"/>
    <w:rsid w:val="002A7DAE"/>
    <w:rsid w:val="002A7FD1"/>
    <w:rsid w:val="002B1762"/>
    <w:rsid w:val="002B3233"/>
    <w:rsid w:val="002B5231"/>
    <w:rsid w:val="002B5AC2"/>
    <w:rsid w:val="002C229D"/>
    <w:rsid w:val="002C360E"/>
    <w:rsid w:val="002C5C2E"/>
    <w:rsid w:val="002C7EEE"/>
    <w:rsid w:val="002D35AC"/>
    <w:rsid w:val="002D3E1C"/>
    <w:rsid w:val="002D7F9E"/>
    <w:rsid w:val="002E5607"/>
    <w:rsid w:val="002E5BD7"/>
    <w:rsid w:val="002E78A9"/>
    <w:rsid w:val="002F2196"/>
    <w:rsid w:val="002F305F"/>
    <w:rsid w:val="002F455A"/>
    <w:rsid w:val="002F63DD"/>
    <w:rsid w:val="002F6557"/>
    <w:rsid w:val="003014AB"/>
    <w:rsid w:val="003101CF"/>
    <w:rsid w:val="00316A16"/>
    <w:rsid w:val="0032212A"/>
    <w:rsid w:val="00323064"/>
    <w:rsid w:val="00323323"/>
    <w:rsid w:val="00323B3F"/>
    <w:rsid w:val="0032521E"/>
    <w:rsid w:val="00326E30"/>
    <w:rsid w:val="00327423"/>
    <w:rsid w:val="003313DE"/>
    <w:rsid w:val="003336F9"/>
    <w:rsid w:val="00334BA6"/>
    <w:rsid w:val="003358A8"/>
    <w:rsid w:val="003377F8"/>
    <w:rsid w:val="003408BD"/>
    <w:rsid w:val="00341BD3"/>
    <w:rsid w:val="0034346B"/>
    <w:rsid w:val="003455D3"/>
    <w:rsid w:val="0035480D"/>
    <w:rsid w:val="00355F39"/>
    <w:rsid w:val="00356E32"/>
    <w:rsid w:val="0035744A"/>
    <w:rsid w:val="0036178E"/>
    <w:rsid w:val="00361D25"/>
    <w:rsid w:val="0036211B"/>
    <w:rsid w:val="00362258"/>
    <w:rsid w:val="00364BAB"/>
    <w:rsid w:val="003739B0"/>
    <w:rsid w:val="003763C9"/>
    <w:rsid w:val="00376D47"/>
    <w:rsid w:val="00380499"/>
    <w:rsid w:val="00380804"/>
    <w:rsid w:val="003844E9"/>
    <w:rsid w:val="0038471C"/>
    <w:rsid w:val="00390C9B"/>
    <w:rsid w:val="00391DD2"/>
    <w:rsid w:val="003926FB"/>
    <w:rsid w:val="003A0069"/>
    <w:rsid w:val="003A08AF"/>
    <w:rsid w:val="003A7FB5"/>
    <w:rsid w:val="003B4F3E"/>
    <w:rsid w:val="003B7F5F"/>
    <w:rsid w:val="003C0175"/>
    <w:rsid w:val="003C43E9"/>
    <w:rsid w:val="003C55A4"/>
    <w:rsid w:val="003C5942"/>
    <w:rsid w:val="003C646F"/>
    <w:rsid w:val="003C7E25"/>
    <w:rsid w:val="003D0FA9"/>
    <w:rsid w:val="003D37D0"/>
    <w:rsid w:val="003D3AAB"/>
    <w:rsid w:val="003D448D"/>
    <w:rsid w:val="003D5F04"/>
    <w:rsid w:val="003D7E37"/>
    <w:rsid w:val="003E27F5"/>
    <w:rsid w:val="003E30FA"/>
    <w:rsid w:val="003E3BA8"/>
    <w:rsid w:val="003E3E9B"/>
    <w:rsid w:val="003E6E0B"/>
    <w:rsid w:val="003E7504"/>
    <w:rsid w:val="003F0782"/>
    <w:rsid w:val="003F6009"/>
    <w:rsid w:val="0040063E"/>
    <w:rsid w:val="00404708"/>
    <w:rsid w:val="00404BFB"/>
    <w:rsid w:val="0040769F"/>
    <w:rsid w:val="00411127"/>
    <w:rsid w:val="0041177C"/>
    <w:rsid w:val="00413A3F"/>
    <w:rsid w:val="004218C6"/>
    <w:rsid w:val="00422C5A"/>
    <w:rsid w:val="00426E57"/>
    <w:rsid w:val="00427098"/>
    <w:rsid w:val="0043092A"/>
    <w:rsid w:val="00430D77"/>
    <w:rsid w:val="00431A41"/>
    <w:rsid w:val="00433FC1"/>
    <w:rsid w:val="0043740B"/>
    <w:rsid w:val="00440DD9"/>
    <w:rsid w:val="00441674"/>
    <w:rsid w:val="004521D0"/>
    <w:rsid w:val="00452A5B"/>
    <w:rsid w:val="00452A90"/>
    <w:rsid w:val="00457C07"/>
    <w:rsid w:val="00460B01"/>
    <w:rsid w:val="0046239A"/>
    <w:rsid w:val="00463A90"/>
    <w:rsid w:val="004664AA"/>
    <w:rsid w:val="00467446"/>
    <w:rsid w:val="00475306"/>
    <w:rsid w:val="00481A71"/>
    <w:rsid w:val="00483F9F"/>
    <w:rsid w:val="00484921"/>
    <w:rsid w:val="00484CC0"/>
    <w:rsid w:val="00486868"/>
    <w:rsid w:val="00487A32"/>
    <w:rsid w:val="00493818"/>
    <w:rsid w:val="00494A52"/>
    <w:rsid w:val="00497EDE"/>
    <w:rsid w:val="004A0DD5"/>
    <w:rsid w:val="004A1ADD"/>
    <w:rsid w:val="004A2238"/>
    <w:rsid w:val="004B1D5E"/>
    <w:rsid w:val="004B3EB5"/>
    <w:rsid w:val="004B40FB"/>
    <w:rsid w:val="004C04CC"/>
    <w:rsid w:val="004D0463"/>
    <w:rsid w:val="004D18DF"/>
    <w:rsid w:val="004D70F2"/>
    <w:rsid w:val="004E0237"/>
    <w:rsid w:val="004E0CDA"/>
    <w:rsid w:val="004E32F4"/>
    <w:rsid w:val="004E7FA2"/>
    <w:rsid w:val="004F1426"/>
    <w:rsid w:val="004F55C6"/>
    <w:rsid w:val="004F687B"/>
    <w:rsid w:val="0050021E"/>
    <w:rsid w:val="005076DB"/>
    <w:rsid w:val="00507D2F"/>
    <w:rsid w:val="005104C5"/>
    <w:rsid w:val="0051126B"/>
    <w:rsid w:val="00511CD8"/>
    <w:rsid w:val="0051236A"/>
    <w:rsid w:val="005154D1"/>
    <w:rsid w:val="00516CA5"/>
    <w:rsid w:val="00516FEC"/>
    <w:rsid w:val="00522942"/>
    <w:rsid w:val="005303AE"/>
    <w:rsid w:val="00535F02"/>
    <w:rsid w:val="00541F45"/>
    <w:rsid w:val="005468B5"/>
    <w:rsid w:val="00550920"/>
    <w:rsid w:val="005514CB"/>
    <w:rsid w:val="0055419C"/>
    <w:rsid w:val="00557413"/>
    <w:rsid w:val="00563D1E"/>
    <w:rsid w:val="005652B9"/>
    <w:rsid w:val="00570F59"/>
    <w:rsid w:val="00571990"/>
    <w:rsid w:val="00575560"/>
    <w:rsid w:val="00575AD8"/>
    <w:rsid w:val="00584915"/>
    <w:rsid w:val="0058706D"/>
    <w:rsid w:val="00592B7C"/>
    <w:rsid w:val="00593F47"/>
    <w:rsid w:val="0059538D"/>
    <w:rsid w:val="00596B15"/>
    <w:rsid w:val="00596D08"/>
    <w:rsid w:val="005A0D88"/>
    <w:rsid w:val="005A1385"/>
    <w:rsid w:val="005B408A"/>
    <w:rsid w:val="005C34E0"/>
    <w:rsid w:val="005C57B8"/>
    <w:rsid w:val="005C5AEB"/>
    <w:rsid w:val="005C660D"/>
    <w:rsid w:val="005D6BA0"/>
    <w:rsid w:val="005D7A35"/>
    <w:rsid w:val="005E6559"/>
    <w:rsid w:val="005F13FC"/>
    <w:rsid w:val="005F34F4"/>
    <w:rsid w:val="005F41F6"/>
    <w:rsid w:val="005F696D"/>
    <w:rsid w:val="00601B4B"/>
    <w:rsid w:val="006027B0"/>
    <w:rsid w:val="0060550D"/>
    <w:rsid w:val="00606660"/>
    <w:rsid w:val="00610519"/>
    <w:rsid w:val="00610B8A"/>
    <w:rsid w:val="00614AF3"/>
    <w:rsid w:val="00614DEB"/>
    <w:rsid w:val="00616F2E"/>
    <w:rsid w:val="00624559"/>
    <w:rsid w:val="00641127"/>
    <w:rsid w:val="00645673"/>
    <w:rsid w:val="00647B25"/>
    <w:rsid w:val="00647B64"/>
    <w:rsid w:val="00657D5D"/>
    <w:rsid w:val="006615BF"/>
    <w:rsid w:val="00672DE4"/>
    <w:rsid w:val="00673347"/>
    <w:rsid w:val="006812F4"/>
    <w:rsid w:val="0068149E"/>
    <w:rsid w:val="006851A8"/>
    <w:rsid w:val="006863CA"/>
    <w:rsid w:val="006876AC"/>
    <w:rsid w:val="00687753"/>
    <w:rsid w:val="00687998"/>
    <w:rsid w:val="00687D7D"/>
    <w:rsid w:val="00691C1A"/>
    <w:rsid w:val="00694FBF"/>
    <w:rsid w:val="006A12AD"/>
    <w:rsid w:val="006A29AF"/>
    <w:rsid w:val="006A76BB"/>
    <w:rsid w:val="006B3610"/>
    <w:rsid w:val="006B4239"/>
    <w:rsid w:val="006C1592"/>
    <w:rsid w:val="006C1953"/>
    <w:rsid w:val="006C43EA"/>
    <w:rsid w:val="006D74CD"/>
    <w:rsid w:val="006D7E97"/>
    <w:rsid w:val="006E1FE4"/>
    <w:rsid w:val="006E2EB7"/>
    <w:rsid w:val="006E4E7B"/>
    <w:rsid w:val="006E52E7"/>
    <w:rsid w:val="006E568C"/>
    <w:rsid w:val="006E691C"/>
    <w:rsid w:val="006F061E"/>
    <w:rsid w:val="006F2F07"/>
    <w:rsid w:val="006F6842"/>
    <w:rsid w:val="006F6A90"/>
    <w:rsid w:val="007022BA"/>
    <w:rsid w:val="007026A3"/>
    <w:rsid w:val="00702ECC"/>
    <w:rsid w:val="00707A40"/>
    <w:rsid w:val="0071398F"/>
    <w:rsid w:val="0071454C"/>
    <w:rsid w:val="007157B0"/>
    <w:rsid w:val="007212A9"/>
    <w:rsid w:val="007238CA"/>
    <w:rsid w:val="00725475"/>
    <w:rsid w:val="00731559"/>
    <w:rsid w:val="007321C5"/>
    <w:rsid w:val="00733D82"/>
    <w:rsid w:val="007350A3"/>
    <w:rsid w:val="00735399"/>
    <w:rsid w:val="00735A7F"/>
    <w:rsid w:val="0073734A"/>
    <w:rsid w:val="0075073C"/>
    <w:rsid w:val="00750E91"/>
    <w:rsid w:val="00752103"/>
    <w:rsid w:val="00752ADC"/>
    <w:rsid w:val="007532D5"/>
    <w:rsid w:val="00754ECB"/>
    <w:rsid w:val="00756613"/>
    <w:rsid w:val="0076010D"/>
    <w:rsid w:val="007632AD"/>
    <w:rsid w:val="00763416"/>
    <w:rsid w:val="00764E26"/>
    <w:rsid w:val="0077032C"/>
    <w:rsid w:val="007714DD"/>
    <w:rsid w:val="00774FCE"/>
    <w:rsid w:val="0078114E"/>
    <w:rsid w:val="007835F3"/>
    <w:rsid w:val="0078376F"/>
    <w:rsid w:val="00783AA5"/>
    <w:rsid w:val="00790455"/>
    <w:rsid w:val="00793204"/>
    <w:rsid w:val="00794621"/>
    <w:rsid w:val="007A21DE"/>
    <w:rsid w:val="007A3008"/>
    <w:rsid w:val="007A3D68"/>
    <w:rsid w:val="007A75B3"/>
    <w:rsid w:val="007C1B0B"/>
    <w:rsid w:val="007C3235"/>
    <w:rsid w:val="007C4032"/>
    <w:rsid w:val="007C47AD"/>
    <w:rsid w:val="007D0D52"/>
    <w:rsid w:val="007D350F"/>
    <w:rsid w:val="007D7FF9"/>
    <w:rsid w:val="007E1EC7"/>
    <w:rsid w:val="007E2A2D"/>
    <w:rsid w:val="007E5EEC"/>
    <w:rsid w:val="007E6896"/>
    <w:rsid w:val="007E7614"/>
    <w:rsid w:val="007E7F3D"/>
    <w:rsid w:val="007F5740"/>
    <w:rsid w:val="008012B7"/>
    <w:rsid w:val="008029D1"/>
    <w:rsid w:val="00803C1B"/>
    <w:rsid w:val="0080601F"/>
    <w:rsid w:val="00807B22"/>
    <w:rsid w:val="008103EE"/>
    <w:rsid w:val="00810F59"/>
    <w:rsid w:val="008119B6"/>
    <w:rsid w:val="008122EE"/>
    <w:rsid w:val="00813A42"/>
    <w:rsid w:val="008167AF"/>
    <w:rsid w:val="008169F4"/>
    <w:rsid w:val="00822304"/>
    <w:rsid w:val="008229AC"/>
    <w:rsid w:val="00831224"/>
    <w:rsid w:val="0083368A"/>
    <w:rsid w:val="00833705"/>
    <w:rsid w:val="0084112E"/>
    <w:rsid w:val="00842691"/>
    <w:rsid w:val="00845B29"/>
    <w:rsid w:val="00845DF3"/>
    <w:rsid w:val="008544F1"/>
    <w:rsid w:val="00856A3E"/>
    <w:rsid w:val="008620D0"/>
    <w:rsid w:val="00862F47"/>
    <w:rsid w:val="00864C21"/>
    <w:rsid w:val="0086541D"/>
    <w:rsid w:val="00867A82"/>
    <w:rsid w:val="00867E0D"/>
    <w:rsid w:val="0087493E"/>
    <w:rsid w:val="00876F25"/>
    <w:rsid w:val="00880901"/>
    <w:rsid w:val="0088596E"/>
    <w:rsid w:val="00887FA6"/>
    <w:rsid w:val="0089067C"/>
    <w:rsid w:val="008907C8"/>
    <w:rsid w:val="008A27EF"/>
    <w:rsid w:val="008A30F3"/>
    <w:rsid w:val="008A4462"/>
    <w:rsid w:val="008A76A0"/>
    <w:rsid w:val="008B5BC9"/>
    <w:rsid w:val="008C00C7"/>
    <w:rsid w:val="008C0E45"/>
    <w:rsid w:val="008C1434"/>
    <w:rsid w:val="008C3917"/>
    <w:rsid w:val="008D0092"/>
    <w:rsid w:val="008D1520"/>
    <w:rsid w:val="008D18D0"/>
    <w:rsid w:val="008D214F"/>
    <w:rsid w:val="008D3B43"/>
    <w:rsid w:val="008D3BDB"/>
    <w:rsid w:val="008D5555"/>
    <w:rsid w:val="008D6575"/>
    <w:rsid w:val="008D712B"/>
    <w:rsid w:val="008D7A21"/>
    <w:rsid w:val="008E1815"/>
    <w:rsid w:val="008E268D"/>
    <w:rsid w:val="008E43E7"/>
    <w:rsid w:val="008E4541"/>
    <w:rsid w:val="008F0828"/>
    <w:rsid w:val="008F4C20"/>
    <w:rsid w:val="008F5294"/>
    <w:rsid w:val="00902B33"/>
    <w:rsid w:val="0091113B"/>
    <w:rsid w:val="00911F70"/>
    <w:rsid w:val="0091511E"/>
    <w:rsid w:val="0091524C"/>
    <w:rsid w:val="00917B94"/>
    <w:rsid w:val="009225A7"/>
    <w:rsid w:val="00923BF3"/>
    <w:rsid w:val="00923EA5"/>
    <w:rsid w:val="00924B7C"/>
    <w:rsid w:val="00926222"/>
    <w:rsid w:val="009325D5"/>
    <w:rsid w:val="00937235"/>
    <w:rsid w:val="00937D65"/>
    <w:rsid w:val="0094060B"/>
    <w:rsid w:val="009418BB"/>
    <w:rsid w:val="00941BAE"/>
    <w:rsid w:val="00943A87"/>
    <w:rsid w:val="00946376"/>
    <w:rsid w:val="00951877"/>
    <w:rsid w:val="0095256A"/>
    <w:rsid w:val="00952D0F"/>
    <w:rsid w:val="00953875"/>
    <w:rsid w:val="00953ABF"/>
    <w:rsid w:val="00956B40"/>
    <w:rsid w:val="00956E18"/>
    <w:rsid w:val="00971A42"/>
    <w:rsid w:val="0098326A"/>
    <w:rsid w:val="00987230"/>
    <w:rsid w:val="00990039"/>
    <w:rsid w:val="00990BBA"/>
    <w:rsid w:val="00991114"/>
    <w:rsid w:val="00997376"/>
    <w:rsid w:val="009975CA"/>
    <w:rsid w:val="009A1990"/>
    <w:rsid w:val="009A1A23"/>
    <w:rsid w:val="009A259D"/>
    <w:rsid w:val="009A378A"/>
    <w:rsid w:val="009A4E77"/>
    <w:rsid w:val="009A5FE7"/>
    <w:rsid w:val="009B2089"/>
    <w:rsid w:val="009B6BAF"/>
    <w:rsid w:val="009C03DE"/>
    <w:rsid w:val="009C45B0"/>
    <w:rsid w:val="009C4890"/>
    <w:rsid w:val="009C5FFE"/>
    <w:rsid w:val="009D135F"/>
    <w:rsid w:val="009D1F57"/>
    <w:rsid w:val="009D4BAD"/>
    <w:rsid w:val="009D4BE7"/>
    <w:rsid w:val="009D6C05"/>
    <w:rsid w:val="009E2AF2"/>
    <w:rsid w:val="009E3225"/>
    <w:rsid w:val="009E3D9A"/>
    <w:rsid w:val="009E6861"/>
    <w:rsid w:val="009F1C86"/>
    <w:rsid w:val="00A015CF"/>
    <w:rsid w:val="00A03BDB"/>
    <w:rsid w:val="00A04BD1"/>
    <w:rsid w:val="00A05343"/>
    <w:rsid w:val="00A072DE"/>
    <w:rsid w:val="00A07953"/>
    <w:rsid w:val="00A12BDF"/>
    <w:rsid w:val="00A12D55"/>
    <w:rsid w:val="00A20C0F"/>
    <w:rsid w:val="00A21D91"/>
    <w:rsid w:val="00A31532"/>
    <w:rsid w:val="00A31A63"/>
    <w:rsid w:val="00A40040"/>
    <w:rsid w:val="00A424D7"/>
    <w:rsid w:val="00A43DA5"/>
    <w:rsid w:val="00A45B79"/>
    <w:rsid w:val="00A471AC"/>
    <w:rsid w:val="00A5507B"/>
    <w:rsid w:val="00A6737B"/>
    <w:rsid w:val="00A70CA3"/>
    <w:rsid w:val="00A71EDA"/>
    <w:rsid w:val="00A73E5A"/>
    <w:rsid w:val="00A76795"/>
    <w:rsid w:val="00A7751B"/>
    <w:rsid w:val="00A77B76"/>
    <w:rsid w:val="00A8083B"/>
    <w:rsid w:val="00A84E3B"/>
    <w:rsid w:val="00A949DC"/>
    <w:rsid w:val="00AA0773"/>
    <w:rsid w:val="00AA328E"/>
    <w:rsid w:val="00AA4B83"/>
    <w:rsid w:val="00AA6514"/>
    <w:rsid w:val="00AB4FC2"/>
    <w:rsid w:val="00AB6CD8"/>
    <w:rsid w:val="00AB708F"/>
    <w:rsid w:val="00AB716B"/>
    <w:rsid w:val="00AC724A"/>
    <w:rsid w:val="00AC7A8A"/>
    <w:rsid w:val="00AD3848"/>
    <w:rsid w:val="00AD5722"/>
    <w:rsid w:val="00AE0F0D"/>
    <w:rsid w:val="00AE1D70"/>
    <w:rsid w:val="00AE335E"/>
    <w:rsid w:val="00AF04F3"/>
    <w:rsid w:val="00AF14A7"/>
    <w:rsid w:val="00AF2232"/>
    <w:rsid w:val="00AF268B"/>
    <w:rsid w:val="00AF422F"/>
    <w:rsid w:val="00AF483D"/>
    <w:rsid w:val="00B00AE9"/>
    <w:rsid w:val="00B02569"/>
    <w:rsid w:val="00B04159"/>
    <w:rsid w:val="00B06FF3"/>
    <w:rsid w:val="00B14DEB"/>
    <w:rsid w:val="00B14EC4"/>
    <w:rsid w:val="00B14F2D"/>
    <w:rsid w:val="00B221FA"/>
    <w:rsid w:val="00B23DCE"/>
    <w:rsid w:val="00B2607E"/>
    <w:rsid w:val="00B2643E"/>
    <w:rsid w:val="00B30ACC"/>
    <w:rsid w:val="00B30F02"/>
    <w:rsid w:val="00B326EE"/>
    <w:rsid w:val="00B35B14"/>
    <w:rsid w:val="00B37902"/>
    <w:rsid w:val="00B44DAC"/>
    <w:rsid w:val="00B45336"/>
    <w:rsid w:val="00B4591A"/>
    <w:rsid w:val="00B46CEC"/>
    <w:rsid w:val="00B50FDF"/>
    <w:rsid w:val="00B546CD"/>
    <w:rsid w:val="00B56797"/>
    <w:rsid w:val="00B610C5"/>
    <w:rsid w:val="00B6340D"/>
    <w:rsid w:val="00B63D2C"/>
    <w:rsid w:val="00B719B6"/>
    <w:rsid w:val="00B7247D"/>
    <w:rsid w:val="00B7290B"/>
    <w:rsid w:val="00B76E25"/>
    <w:rsid w:val="00B80B18"/>
    <w:rsid w:val="00B83C78"/>
    <w:rsid w:val="00B83E2C"/>
    <w:rsid w:val="00B8674D"/>
    <w:rsid w:val="00B86D27"/>
    <w:rsid w:val="00B9138F"/>
    <w:rsid w:val="00B92218"/>
    <w:rsid w:val="00B9315E"/>
    <w:rsid w:val="00B95716"/>
    <w:rsid w:val="00BA0C8C"/>
    <w:rsid w:val="00BB045A"/>
    <w:rsid w:val="00BB16DD"/>
    <w:rsid w:val="00BB2D42"/>
    <w:rsid w:val="00BB3F1D"/>
    <w:rsid w:val="00BC69EE"/>
    <w:rsid w:val="00BC7A72"/>
    <w:rsid w:val="00BD02BE"/>
    <w:rsid w:val="00BE2774"/>
    <w:rsid w:val="00BE4BAD"/>
    <w:rsid w:val="00BE4C91"/>
    <w:rsid w:val="00BE5033"/>
    <w:rsid w:val="00BE7311"/>
    <w:rsid w:val="00BF53A2"/>
    <w:rsid w:val="00BF5792"/>
    <w:rsid w:val="00C02317"/>
    <w:rsid w:val="00C0283D"/>
    <w:rsid w:val="00C04F71"/>
    <w:rsid w:val="00C06583"/>
    <w:rsid w:val="00C06CB8"/>
    <w:rsid w:val="00C13C85"/>
    <w:rsid w:val="00C14500"/>
    <w:rsid w:val="00C15B2D"/>
    <w:rsid w:val="00C20D02"/>
    <w:rsid w:val="00C272B9"/>
    <w:rsid w:val="00C30DD0"/>
    <w:rsid w:val="00C34590"/>
    <w:rsid w:val="00C359E1"/>
    <w:rsid w:val="00C41809"/>
    <w:rsid w:val="00C42583"/>
    <w:rsid w:val="00C4768A"/>
    <w:rsid w:val="00C5083C"/>
    <w:rsid w:val="00C5769C"/>
    <w:rsid w:val="00C60C85"/>
    <w:rsid w:val="00C60F74"/>
    <w:rsid w:val="00C64DB8"/>
    <w:rsid w:val="00C6768B"/>
    <w:rsid w:val="00C676F3"/>
    <w:rsid w:val="00C677E2"/>
    <w:rsid w:val="00C70A9C"/>
    <w:rsid w:val="00C72644"/>
    <w:rsid w:val="00C73645"/>
    <w:rsid w:val="00C923EF"/>
    <w:rsid w:val="00C952DD"/>
    <w:rsid w:val="00C959FA"/>
    <w:rsid w:val="00C9640C"/>
    <w:rsid w:val="00CA289B"/>
    <w:rsid w:val="00CA3B9A"/>
    <w:rsid w:val="00CA6E72"/>
    <w:rsid w:val="00CA79C6"/>
    <w:rsid w:val="00CB0C6C"/>
    <w:rsid w:val="00CB0E9E"/>
    <w:rsid w:val="00CB17C3"/>
    <w:rsid w:val="00CB2609"/>
    <w:rsid w:val="00CB7449"/>
    <w:rsid w:val="00CC0972"/>
    <w:rsid w:val="00CC2F36"/>
    <w:rsid w:val="00CC7643"/>
    <w:rsid w:val="00CD09E4"/>
    <w:rsid w:val="00CD0C26"/>
    <w:rsid w:val="00CD170F"/>
    <w:rsid w:val="00CD4B15"/>
    <w:rsid w:val="00CD5608"/>
    <w:rsid w:val="00CD57C9"/>
    <w:rsid w:val="00CD6590"/>
    <w:rsid w:val="00CD75CE"/>
    <w:rsid w:val="00CE49E2"/>
    <w:rsid w:val="00CE4A59"/>
    <w:rsid w:val="00CE5F9D"/>
    <w:rsid w:val="00CF01A3"/>
    <w:rsid w:val="00CF46C1"/>
    <w:rsid w:val="00CF5B50"/>
    <w:rsid w:val="00D00754"/>
    <w:rsid w:val="00D020CB"/>
    <w:rsid w:val="00D043EE"/>
    <w:rsid w:val="00D216F3"/>
    <w:rsid w:val="00D21930"/>
    <w:rsid w:val="00D26B5E"/>
    <w:rsid w:val="00D32B27"/>
    <w:rsid w:val="00D33B52"/>
    <w:rsid w:val="00D33C08"/>
    <w:rsid w:val="00D37A81"/>
    <w:rsid w:val="00D40E4B"/>
    <w:rsid w:val="00D41EF9"/>
    <w:rsid w:val="00D448C3"/>
    <w:rsid w:val="00D45B55"/>
    <w:rsid w:val="00D46D9A"/>
    <w:rsid w:val="00D473CF"/>
    <w:rsid w:val="00D72231"/>
    <w:rsid w:val="00D731C3"/>
    <w:rsid w:val="00D7488B"/>
    <w:rsid w:val="00D776CB"/>
    <w:rsid w:val="00D776F0"/>
    <w:rsid w:val="00D80844"/>
    <w:rsid w:val="00D82398"/>
    <w:rsid w:val="00D8306A"/>
    <w:rsid w:val="00D86B6E"/>
    <w:rsid w:val="00D90A8E"/>
    <w:rsid w:val="00D94D58"/>
    <w:rsid w:val="00D95764"/>
    <w:rsid w:val="00D95CDA"/>
    <w:rsid w:val="00DA5462"/>
    <w:rsid w:val="00DA64CF"/>
    <w:rsid w:val="00DA76A8"/>
    <w:rsid w:val="00DB0D23"/>
    <w:rsid w:val="00DB410E"/>
    <w:rsid w:val="00DB4AE3"/>
    <w:rsid w:val="00DB54E3"/>
    <w:rsid w:val="00DB5BE2"/>
    <w:rsid w:val="00DB6FEA"/>
    <w:rsid w:val="00DB71E0"/>
    <w:rsid w:val="00DC597B"/>
    <w:rsid w:val="00DC7834"/>
    <w:rsid w:val="00DC7E6B"/>
    <w:rsid w:val="00DD07C1"/>
    <w:rsid w:val="00DD27C1"/>
    <w:rsid w:val="00DD3333"/>
    <w:rsid w:val="00DD3564"/>
    <w:rsid w:val="00DD598E"/>
    <w:rsid w:val="00DD7374"/>
    <w:rsid w:val="00DD7668"/>
    <w:rsid w:val="00DE1FE9"/>
    <w:rsid w:val="00DE6471"/>
    <w:rsid w:val="00DE64CE"/>
    <w:rsid w:val="00E027E2"/>
    <w:rsid w:val="00E02E8B"/>
    <w:rsid w:val="00E066C0"/>
    <w:rsid w:val="00E111F0"/>
    <w:rsid w:val="00E11F1E"/>
    <w:rsid w:val="00E15D48"/>
    <w:rsid w:val="00E17913"/>
    <w:rsid w:val="00E20EC7"/>
    <w:rsid w:val="00E21813"/>
    <w:rsid w:val="00E21D52"/>
    <w:rsid w:val="00E23E8A"/>
    <w:rsid w:val="00E2565A"/>
    <w:rsid w:val="00E25E63"/>
    <w:rsid w:val="00E34214"/>
    <w:rsid w:val="00E3712C"/>
    <w:rsid w:val="00E41D35"/>
    <w:rsid w:val="00E503D2"/>
    <w:rsid w:val="00E52B63"/>
    <w:rsid w:val="00E551ED"/>
    <w:rsid w:val="00E57E15"/>
    <w:rsid w:val="00E57F6C"/>
    <w:rsid w:val="00E60B42"/>
    <w:rsid w:val="00E63561"/>
    <w:rsid w:val="00E637D7"/>
    <w:rsid w:val="00E6407C"/>
    <w:rsid w:val="00E640B1"/>
    <w:rsid w:val="00E64222"/>
    <w:rsid w:val="00E661C3"/>
    <w:rsid w:val="00E66810"/>
    <w:rsid w:val="00E672AF"/>
    <w:rsid w:val="00E732BD"/>
    <w:rsid w:val="00E743E3"/>
    <w:rsid w:val="00E75427"/>
    <w:rsid w:val="00E80526"/>
    <w:rsid w:val="00E82E03"/>
    <w:rsid w:val="00E879DB"/>
    <w:rsid w:val="00E92922"/>
    <w:rsid w:val="00E92ECB"/>
    <w:rsid w:val="00E97854"/>
    <w:rsid w:val="00EA6B9A"/>
    <w:rsid w:val="00EB1F9C"/>
    <w:rsid w:val="00EB246E"/>
    <w:rsid w:val="00EB5EB0"/>
    <w:rsid w:val="00EC488C"/>
    <w:rsid w:val="00EC77E7"/>
    <w:rsid w:val="00ED19D2"/>
    <w:rsid w:val="00ED2682"/>
    <w:rsid w:val="00ED2F64"/>
    <w:rsid w:val="00ED3E1D"/>
    <w:rsid w:val="00ED6269"/>
    <w:rsid w:val="00EE0261"/>
    <w:rsid w:val="00EE303C"/>
    <w:rsid w:val="00EE6E35"/>
    <w:rsid w:val="00EE7CBD"/>
    <w:rsid w:val="00EF332D"/>
    <w:rsid w:val="00EF462A"/>
    <w:rsid w:val="00F011BD"/>
    <w:rsid w:val="00F02529"/>
    <w:rsid w:val="00F064EB"/>
    <w:rsid w:val="00F10608"/>
    <w:rsid w:val="00F10BAE"/>
    <w:rsid w:val="00F10FC4"/>
    <w:rsid w:val="00F116C1"/>
    <w:rsid w:val="00F12B77"/>
    <w:rsid w:val="00F13DDB"/>
    <w:rsid w:val="00F15333"/>
    <w:rsid w:val="00F15F72"/>
    <w:rsid w:val="00F16780"/>
    <w:rsid w:val="00F220C0"/>
    <w:rsid w:val="00F229AF"/>
    <w:rsid w:val="00F3040D"/>
    <w:rsid w:val="00F362CB"/>
    <w:rsid w:val="00F405F2"/>
    <w:rsid w:val="00F44B83"/>
    <w:rsid w:val="00F4699D"/>
    <w:rsid w:val="00F5040F"/>
    <w:rsid w:val="00F50516"/>
    <w:rsid w:val="00F50EE5"/>
    <w:rsid w:val="00F5260D"/>
    <w:rsid w:val="00F55AA0"/>
    <w:rsid w:val="00F55AD6"/>
    <w:rsid w:val="00F561A3"/>
    <w:rsid w:val="00F603FB"/>
    <w:rsid w:val="00F6199C"/>
    <w:rsid w:val="00F61DDF"/>
    <w:rsid w:val="00F62F78"/>
    <w:rsid w:val="00F6328E"/>
    <w:rsid w:val="00F64123"/>
    <w:rsid w:val="00F67099"/>
    <w:rsid w:val="00F74610"/>
    <w:rsid w:val="00F77DAC"/>
    <w:rsid w:val="00F927BC"/>
    <w:rsid w:val="00F930EA"/>
    <w:rsid w:val="00F93B5C"/>
    <w:rsid w:val="00F95472"/>
    <w:rsid w:val="00F963A2"/>
    <w:rsid w:val="00FA078D"/>
    <w:rsid w:val="00FA43C5"/>
    <w:rsid w:val="00FD31AE"/>
    <w:rsid w:val="00FD6B9C"/>
    <w:rsid w:val="00FE2631"/>
    <w:rsid w:val="00FE608B"/>
    <w:rsid w:val="00FF0CFA"/>
    <w:rsid w:val="00FF163C"/>
    <w:rsid w:val="00FF7878"/>
    <w:rsid w:val="03461BE6"/>
    <w:rsid w:val="04823D6A"/>
    <w:rsid w:val="04B74C29"/>
    <w:rsid w:val="04C96233"/>
    <w:rsid w:val="062C1A14"/>
    <w:rsid w:val="06A60687"/>
    <w:rsid w:val="07360142"/>
    <w:rsid w:val="081B3A33"/>
    <w:rsid w:val="0A127670"/>
    <w:rsid w:val="0AF54974"/>
    <w:rsid w:val="0F0547E3"/>
    <w:rsid w:val="10950F7D"/>
    <w:rsid w:val="10EF3511"/>
    <w:rsid w:val="13530558"/>
    <w:rsid w:val="136E365B"/>
    <w:rsid w:val="146E7159"/>
    <w:rsid w:val="14CF0DC3"/>
    <w:rsid w:val="14D032EA"/>
    <w:rsid w:val="16E03B7C"/>
    <w:rsid w:val="17A934EC"/>
    <w:rsid w:val="17F71D92"/>
    <w:rsid w:val="1AD27ACE"/>
    <w:rsid w:val="1C7C0474"/>
    <w:rsid w:val="1DD97FB6"/>
    <w:rsid w:val="1F5E1A6A"/>
    <w:rsid w:val="1F61627A"/>
    <w:rsid w:val="1FF11B12"/>
    <w:rsid w:val="20C91131"/>
    <w:rsid w:val="211A0D3F"/>
    <w:rsid w:val="21D17CF8"/>
    <w:rsid w:val="21F03AA2"/>
    <w:rsid w:val="262E459C"/>
    <w:rsid w:val="2A9677A5"/>
    <w:rsid w:val="2AE26A73"/>
    <w:rsid w:val="2AEB7CAB"/>
    <w:rsid w:val="2B866E87"/>
    <w:rsid w:val="2D9E48E8"/>
    <w:rsid w:val="2DDC2173"/>
    <w:rsid w:val="2E7D3260"/>
    <w:rsid w:val="31275E96"/>
    <w:rsid w:val="32E51FB9"/>
    <w:rsid w:val="33761A3E"/>
    <w:rsid w:val="35FB106D"/>
    <w:rsid w:val="36631639"/>
    <w:rsid w:val="372A3FAD"/>
    <w:rsid w:val="3902304A"/>
    <w:rsid w:val="3BED3FC5"/>
    <w:rsid w:val="42CF2688"/>
    <w:rsid w:val="45027F43"/>
    <w:rsid w:val="4507434F"/>
    <w:rsid w:val="46DB3887"/>
    <w:rsid w:val="47475CB2"/>
    <w:rsid w:val="48846198"/>
    <w:rsid w:val="4CF7168B"/>
    <w:rsid w:val="4D3C1B30"/>
    <w:rsid w:val="4F0D67C9"/>
    <w:rsid w:val="4F8E1047"/>
    <w:rsid w:val="50C42BDC"/>
    <w:rsid w:val="5548030E"/>
    <w:rsid w:val="583F414C"/>
    <w:rsid w:val="59CB30C8"/>
    <w:rsid w:val="5A482ECE"/>
    <w:rsid w:val="5C572EF2"/>
    <w:rsid w:val="61837B7D"/>
    <w:rsid w:val="61C858E3"/>
    <w:rsid w:val="628C28C7"/>
    <w:rsid w:val="62A86404"/>
    <w:rsid w:val="62AD17EA"/>
    <w:rsid w:val="63927923"/>
    <w:rsid w:val="699D210E"/>
    <w:rsid w:val="6DB175E8"/>
    <w:rsid w:val="6DF97601"/>
    <w:rsid w:val="736103E7"/>
    <w:rsid w:val="7454695B"/>
    <w:rsid w:val="749C0D3A"/>
    <w:rsid w:val="75126DC2"/>
    <w:rsid w:val="76316CFC"/>
    <w:rsid w:val="76CF34A0"/>
    <w:rsid w:val="775B5E3B"/>
    <w:rsid w:val="77951885"/>
    <w:rsid w:val="779A68A5"/>
    <w:rsid w:val="7B545AAF"/>
    <w:rsid w:val="7D2B6299"/>
    <w:rsid w:val="7D472D1A"/>
    <w:rsid w:val="7DFE73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ocked="1"/>
    <w:lsdException w:qFormat="1" w:unhideWhenUsed="0" w:uiPriority="39" w:semiHidden="0" w:name="toc 2" w:locked="1"/>
    <w:lsdException w:qFormat="1" w:unhideWhenUsed="0" w:uiPriority="39" w:semiHidden="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locked/>
    <w:uiPriority w:val="0"/>
    <w:pPr>
      <w:keepNext/>
      <w:keepLines/>
      <w:spacing w:before="260" w:after="260" w:line="413" w:lineRule="auto"/>
      <w:outlineLvl w:val="1"/>
    </w:pPr>
    <w:rPr>
      <w:rFonts w:ascii="Arial" w:hAnsi="Arial" w:eastAsia="黑体"/>
      <w:b/>
      <w:sz w:val="32"/>
      <w:szCs w:val="20"/>
    </w:rPr>
  </w:style>
  <w:style w:type="paragraph" w:styleId="3">
    <w:name w:val="heading 3"/>
    <w:basedOn w:val="1"/>
    <w:next w:val="1"/>
    <w:link w:val="32"/>
    <w:qFormat/>
    <w:locked/>
    <w:uiPriority w:val="0"/>
    <w:pPr>
      <w:keepNext/>
      <w:keepLines/>
      <w:spacing w:before="260" w:after="260" w:line="416" w:lineRule="auto"/>
      <w:outlineLvl w:val="2"/>
    </w:pPr>
    <w:rPr>
      <w:b/>
      <w:bCs/>
      <w:sz w:val="32"/>
      <w:szCs w:val="32"/>
    </w:rPr>
  </w:style>
  <w:style w:type="paragraph" w:styleId="4">
    <w:name w:val="heading 4"/>
    <w:basedOn w:val="1"/>
    <w:next w:val="1"/>
    <w:link w:val="34"/>
    <w:qFormat/>
    <w:locked/>
    <w:uiPriority w:val="0"/>
    <w:pPr>
      <w:keepNext/>
      <w:keepLines/>
      <w:spacing w:before="280" w:after="290" w:line="376" w:lineRule="auto"/>
      <w:outlineLvl w:val="3"/>
    </w:pPr>
    <w:rPr>
      <w:rFonts w:ascii="等线 Light" w:hAnsi="等线 Light" w:eastAsia="等线 Light"/>
      <w:b/>
      <w:bCs/>
      <w:sz w:val="28"/>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semiHidden/>
    <w:qFormat/>
    <w:uiPriority w:val="0"/>
    <w:pPr>
      <w:jc w:val="left"/>
    </w:pPr>
    <w:rPr>
      <w:kern w:val="0"/>
      <w:sz w:val="24"/>
      <w:szCs w:val="20"/>
    </w:rPr>
  </w:style>
  <w:style w:type="paragraph" w:styleId="6">
    <w:name w:val="Body Text"/>
    <w:basedOn w:val="1"/>
    <w:link w:val="41"/>
    <w:qFormat/>
    <w:uiPriority w:val="0"/>
    <w:pPr>
      <w:spacing w:after="120"/>
    </w:pPr>
  </w:style>
  <w:style w:type="paragraph" w:styleId="7">
    <w:name w:val="Body Text Indent"/>
    <w:basedOn w:val="1"/>
    <w:link w:val="31"/>
    <w:qFormat/>
    <w:uiPriority w:val="0"/>
    <w:pPr>
      <w:ind w:firstLine="771" w:firstLineChars="257"/>
    </w:pPr>
    <w:rPr>
      <w:kern w:val="0"/>
      <w:sz w:val="24"/>
      <w:szCs w:val="20"/>
    </w:rPr>
  </w:style>
  <w:style w:type="paragraph" w:styleId="8">
    <w:name w:val="toc 3"/>
    <w:basedOn w:val="1"/>
    <w:next w:val="1"/>
    <w:qFormat/>
    <w:locked/>
    <w:uiPriority w:val="39"/>
    <w:pPr>
      <w:tabs>
        <w:tab w:val="right" w:leader="dot" w:pos="8303"/>
      </w:tabs>
      <w:ind w:left="1120" w:leftChars="400"/>
    </w:pPr>
    <w:rPr>
      <w:sz w:val="28"/>
      <w:szCs w:val="20"/>
    </w:rPr>
  </w:style>
  <w:style w:type="paragraph" w:styleId="9">
    <w:name w:val="Plain Text"/>
    <w:basedOn w:val="1"/>
    <w:link w:val="29"/>
    <w:qFormat/>
    <w:uiPriority w:val="0"/>
    <w:rPr>
      <w:rFonts w:ascii="宋体" w:hAnsi="Courier New"/>
      <w:kern w:val="0"/>
      <w:szCs w:val="20"/>
    </w:rPr>
  </w:style>
  <w:style w:type="paragraph" w:styleId="10">
    <w:name w:val="Date"/>
    <w:basedOn w:val="1"/>
    <w:next w:val="1"/>
    <w:link w:val="36"/>
    <w:qFormat/>
    <w:uiPriority w:val="0"/>
    <w:pPr>
      <w:ind w:left="100" w:leftChars="2500"/>
    </w:pPr>
    <w:rPr>
      <w:kern w:val="0"/>
      <w:sz w:val="24"/>
      <w:szCs w:val="20"/>
    </w:rPr>
  </w:style>
  <w:style w:type="paragraph" w:styleId="11">
    <w:name w:val="Balloon Text"/>
    <w:basedOn w:val="1"/>
    <w:link w:val="26"/>
    <w:semiHidden/>
    <w:qFormat/>
    <w:uiPriority w:val="0"/>
    <w:rPr>
      <w:kern w:val="0"/>
      <w:sz w:val="16"/>
      <w:szCs w:val="20"/>
    </w:rPr>
  </w:style>
  <w:style w:type="paragraph" w:styleId="12">
    <w:name w:val="footer"/>
    <w:basedOn w:val="1"/>
    <w:link w:val="27"/>
    <w:qFormat/>
    <w:uiPriority w:val="99"/>
    <w:pPr>
      <w:tabs>
        <w:tab w:val="center" w:pos="4153"/>
        <w:tab w:val="right" w:pos="8306"/>
      </w:tabs>
      <w:snapToGrid w:val="0"/>
      <w:jc w:val="left"/>
    </w:pPr>
    <w:rPr>
      <w:sz w:val="18"/>
      <w:szCs w:val="20"/>
    </w:rPr>
  </w:style>
  <w:style w:type="paragraph" w:styleId="13">
    <w:name w:val="header"/>
    <w:basedOn w:val="1"/>
    <w:link w:val="37"/>
    <w:qFormat/>
    <w:uiPriority w:val="0"/>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locked/>
    <w:uiPriority w:val="0"/>
  </w:style>
  <w:style w:type="paragraph" w:styleId="15">
    <w:name w:val="toc 2"/>
    <w:basedOn w:val="1"/>
    <w:next w:val="1"/>
    <w:qFormat/>
    <w:locked/>
    <w:uiPriority w:val="39"/>
    <w:pPr>
      <w:ind w:left="420" w:leftChars="200"/>
    </w:pPr>
    <w:rPr>
      <w:sz w:val="28"/>
      <w:szCs w:val="20"/>
    </w:rPr>
  </w:style>
  <w:style w:type="paragraph" w:styleId="16">
    <w:name w:val="Body Text 2"/>
    <w:basedOn w:val="1"/>
    <w:link w:val="38"/>
    <w:qFormat/>
    <w:uiPriority w:val="0"/>
    <w:pPr>
      <w:spacing w:after="120" w:line="480" w:lineRule="auto"/>
    </w:pPr>
  </w:style>
  <w:style w:type="paragraph" w:styleId="17">
    <w:name w:val="HTML Preformatted"/>
    <w:basedOn w:val="1"/>
    <w:link w:val="28"/>
    <w:qFormat/>
    <w:uiPriority w:val="0"/>
    <w:rPr>
      <w:rFonts w:ascii="Courier New" w:hAnsi="Courier New"/>
      <w:sz w:val="20"/>
      <w:szCs w:val="20"/>
    </w:rPr>
  </w:style>
  <w:style w:type="paragraph" w:styleId="18">
    <w:name w:val="annotation subject"/>
    <w:basedOn w:val="5"/>
    <w:next w:val="5"/>
    <w:link w:val="33"/>
    <w:semiHidden/>
    <w:qFormat/>
    <w:uiPriority w:val="0"/>
    <w:rPr>
      <w:b/>
    </w:rPr>
  </w:style>
  <w:style w:type="character" w:styleId="21">
    <w:name w:val="page number"/>
    <w:basedOn w:val="20"/>
    <w:qFormat/>
    <w:uiPriority w:val="0"/>
  </w:style>
  <w:style w:type="character" w:styleId="22">
    <w:name w:val="Emphasis"/>
    <w:basedOn w:val="20"/>
    <w:qFormat/>
    <w:locked/>
    <w:uiPriority w:val="0"/>
    <w:rPr>
      <w:i/>
    </w:rPr>
  </w:style>
  <w:style w:type="character" w:styleId="23">
    <w:name w:val="Hyperlink"/>
    <w:qFormat/>
    <w:uiPriority w:val="0"/>
    <w:rPr>
      <w:color w:val="0000FF"/>
      <w:u w:val="single"/>
    </w:rPr>
  </w:style>
  <w:style w:type="character" w:styleId="24">
    <w:name w:val="annotation reference"/>
    <w:semiHidden/>
    <w:qFormat/>
    <w:uiPriority w:val="0"/>
    <w:rPr>
      <w:sz w:val="21"/>
    </w:rPr>
  </w:style>
  <w:style w:type="character" w:customStyle="1" w:styleId="25">
    <w:name w:val="标题 2 字符1"/>
    <w:link w:val="2"/>
    <w:qFormat/>
    <w:uiPriority w:val="0"/>
    <w:rPr>
      <w:rFonts w:ascii="Arial" w:hAnsi="Arial" w:eastAsia="黑体"/>
      <w:b/>
      <w:kern w:val="2"/>
      <w:sz w:val="32"/>
    </w:rPr>
  </w:style>
  <w:style w:type="character" w:customStyle="1" w:styleId="26">
    <w:name w:val="批注框文本 字符"/>
    <w:link w:val="11"/>
    <w:semiHidden/>
    <w:qFormat/>
    <w:locked/>
    <w:uiPriority w:val="0"/>
    <w:rPr>
      <w:sz w:val="16"/>
    </w:rPr>
  </w:style>
  <w:style w:type="character" w:customStyle="1" w:styleId="27">
    <w:name w:val="页脚 字符"/>
    <w:link w:val="12"/>
    <w:qFormat/>
    <w:locked/>
    <w:uiPriority w:val="99"/>
    <w:rPr>
      <w:kern w:val="2"/>
      <w:sz w:val="18"/>
    </w:rPr>
  </w:style>
  <w:style w:type="character" w:customStyle="1" w:styleId="28">
    <w:name w:val="HTML 预设格式 字符"/>
    <w:link w:val="17"/>
    <w:qFormat/>
    <w:locked/>
    <w:uiPriority w:val="0"/>
    <w:rPr>
      <w:rFonts w:ascii="Courier New" w:hAnsi="Courier New"/>
      <w:kern w:val="2"/>
    </w:rPr>
  </w:style>
  <w:style w:type="character" w:customStyle="1" w:styleId="29">
    <w:name w:val="纯文本 字符"/>
    <w:link w:val="9"/>
    <w:semiHidden/>
    <w:qFormat/>
    <w:locked/>
    <w:uiPriority w:val="0"/>
    <w:rPr>
      <w:rFonts w:ascii="宋体" w:hAnsi="Courier New"/>
      <w:sz w:val="21"/>
    </w:rPr>
  </w:style>
  <w:style w:type="character" w:customStyle="1" w:styleId="30">
    <w:name w:val="批注文字 字符"/>
    <w:link w:val="5"/>
    <w:semiHidden/>
    <w:qFormat/>
    <w:locked/>
    <w:uiPriority w:val="0"/>
    <w:rPr>
      <w:sz w:val="24"/>
    </w:rPr>
  </w:style>
  <w:style w:type="character" w:customStyle="1" w:styleId="31">
    <w:name w:val="正文文本缩进 字符"/>
    <w:link w:val="7"/>
    <w:semiHidden/>
    <w:qFormat/>
    <w:locked/>
    <w:uiPriority w:val="0"/>
    <w:rPr>
      <w:sz w:val="24"/>
    </w:rPr>
  </w:style>
  <w:style w:type="character" w:customStyle="1" w:styleId="32">
    <w:name w:val="标题 3 字符"/>
    <w:link w:val="3"/>
    <w:qFormat/>
    <w:uiPriority w:val="0"/>
    <w:rPr>
      <w:b/>
      <w:bCs/>
      <w:kern w:val="2"/>
      <w:sz w:val="32"/>
      <w:szCs w:val="32"/>
    </w:rPr>
  </w:style>
  <w:style w:type="character" w:customStyle="1" w:styleId="33">
    <w:name w:val="批注主题 字符"/>
    <w:link w:val="18"/>
    <w:semiHidden/>
    <w:qFormat/>
    <w:locked/>
    <w:uiPriority w:val="0"/>
    <w:rPr>
      <w:b/>
      <w:sz w:val="24"/>
    </w:rPr>
  </w:style>
  <w:style w:type="character" w:customStyle="1" w:styleId="34">
    <w:name w:val="标题 4 字符"/>
    <w:link w:val="4"/>
    <w:semiHidden/>
    <w:qFormat/>
    <w:uiPriority w:val="0"/>
    <w:rPr>
      <w:rFonts w:ascii="等线 Light" w:hAnsi="等线 Light" w:eastAsia="等线 Light" w:cs="Times New Roman"/>
      <w:b/>
      <w:bCs/>
      <w:kern w:val="2"/>
      <w:sz w:val="28"/>
      <w:szCs w:val="28"/>
    </w:rPr>
  </w:style>
  <w:style w:type="character" w:customStyle="1" w:styleId="35">
    <w:name w:val="标题 2 字符"/>
    <w:semiHidden/>
    <w:qFormat/>
    <w:uiPriority w:val="0"/>
    <w:rPr>
      <w:rFonts w:ascii="等线 Light" w:hAnsi="等线 Light" w:eastAsia="等线 Light" w:cs="Times New Roman"/>
      <w:b/>
      <w:bCs/>
      <w:kern w:val="2"/>
      <w:sz w:val="32"/>
      <w:szCs w:val="32"/>
    </w:rPr>
  </w:style>
  <w:style w:type="character" w:customStyle="1" w:styleId="36">
    <w:name w:val="日期 字符"/>
    <w:link w:val="10"/>
    <w:semiHidden/>
    <w:qFormat/>
    <w:locked/>
    <w:uiPriority w:val="0"/>
    <w:rPr>
      <w:sz w:val="24"/>
    </w:rPr>
  </w:style>
  <w:style w:type="character" w:customStyle="1" w:styleId="37">
    <w:name w:val="页眉 字符"/>
    <w:link w:val="13"/>
    <w:semiHidden/>
    <w:qFormat/>
    <w:locked/>
    <w:uiPriority w:val="0"/>
    <w:rPr>
      <w:sz w:val="18"/>
    </w:rPr>
  </w:style>
  <w:style w:type="character" w:customStyle="1" w:styleId="38">
    <w:name w:val="正文文本 2 字符"/>
    <w:link w:val="16"/>
    <w:qFormat/>
    <w:uiPriority w:val="0"/>
    <w:rPr>
      <w:kern w:val="2"/>
      <w:sz w:val="21"/>
      <w:szCs w:val="24"/>
    </w:rPr>
  </w:style>
  <w:style w:type="paragraph" w:customStyle="1" w:styleId="3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
    <w:name w:val="1"/>
    <w:basedOn w:val="1"/>
    <w:next w:val="16"/>
    <w:qFormat/>
    <w:uiPriority w:val="0"/>
    <w:pPr>
      <w:jc w:val="center"/>
    </w:pPr>
    <w:rPr>
      <w:b/>
      <w:bCs/>
      <w:sz w:val="36"/>
      <w:szCs w:val="21"/>
    </w:rPr>
  </w:style>
  <w:style w:type="character" w:customStyle="1" w:styleId="41">
    <w:name w:val="正文文本 字符"/>
    <w:basedOn w:val="20"/>
    <w:link w:val="6"/>
    <w:qFormat/>
    <w:uiPriority w:val="0"/>
    <w:rPr>
      <w:kern w:val="2"/>
      <w:sz w:val="21"/>
      <w:szCs w:val="24"/>
    </w:rPr>
  </w:style>
  <w:style w:type="paragraph" w:styleId="42">
    <w:name w:val="List Paragraph"/>
    <w:basedOn w:val="1"/>
    <w:unhideWhenUsed/>
    <w:qFormat/>
    <w:uiPriority w:val="99"/>
    <w:pPr>
      <w:ind w:firstLine="420" w:firstLineChars="200"/>
    </w:p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4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480C2-546E-4562-8891-1D21B7C02FC9}">
  <ds:schemaRefs/>
</ds:datastoreItem>
</file>

<file path=docProps/app.xml><?xml version="1.0" encoding="utf-8"?>
<Properties xmlns="http://schemas.openxmlformats.org/officeDocument/2006/extended-properties" xmlns:vt="http://schemas.openxmlformats.org/officeDocument/2006/docPropsVTypes">
  <Template>Normal</Template>
  <Pages>19</Pages>
  <Words>6779</Words>
  <Characters>7272</Characters>
  <Lines>79</Lines>
  <Paragraphs>22</Paragraphs>
  <TotalTime>0</TotalTime>
  <ScaleCrop>false</ScaleCrop>
  <LinksUpToDate>false</LinksUpToDate>
  <CharactersWithSpaces>7875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2020-04-22T03:31:00Z</dcterms:created>
  <dc:creator>m</dc:creator>
  <cp:lastModifiedBy>飞翔</cp:lastModifiedBy>
  <cp:lastPrinted>2017-04-05T07:46:00Z</cp:lastPrinted>
  <dcterms:modified xsi:type="dcterms:W3CDTF">2022-06-22T01:33:51Z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0B26277EE159404EA56B665A53DA525F</vt:lpwstr>
  </property>
</Properties>
</file>