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ascii="方正小标宋_GBK" w:hAnsi="黑体" w:eastAsia="方正小标宋_GBK"/>
          <w:sz w:val="44"/>
          <w:szCs w:val="44"/>
        </w:rPr>
      </w:pPr>
      <w:r>
        <w:rPr>
          <w:rFonts w:hint="eastAsia" w:ascii="方正小标宋_GBK" w:hAnsi="黑体" w:eastAsia="方正小标宋_GBK"/>
          <w:sz w:val="44"/>
          <w:szCs w:val="44"/>
        </w:rPr>
        <w:t>重庆市中医骨科医院污水在线监测系统</w:t>
      </w:r>
    </w:p>
    <w:p>
      <w:pPr>
        <w:spacing w:line="500" w:lineRule="exact"/>
        <w:jc w:val="center"/>
        <w:outlineLvl w:val="0"/>
        <w:rPr>
          <w:rFonts w:ascii="方正小标宋_GBK" w:hAnsi="黑体" w:eastAsia="方正小标宋_GBK" w:cs="方正仿宋"/>
          <w:sz w:val="44"/>
          <w:szCs w:val="44"/>
        </w:rPr>
      </w:pPr>
      <w:r>
        <w:rPr>
          <w:rFonts w:hint="eastAsia" w:ascii="方正小标宋_GBK" w:hAnsi="黑体" w:eastAsia="方正小标宋_GBK"/>
          <w:sz w:val="44"/>
          <w:szCs w:val="44"/>
        </w:rPr>
        <w:t>维保单位比选公告</w:t>
      </w:r>
    </w:p>
    <w:p>
      <w:pPr>
        <w:spacing w:line="500" w:lineRule="exact"/>
        <w:jc w:val="center"/>
        <w:outlineLvl w:val="0"/>
        <w:rPr>
          <w:rFonts w:ascii="黑体" w:hAnsi="黑体" w:eastAsia="黑体" w:cs="Times New Roman"/>
          <w:b/>
          <w:sz w:val="44"/>
          <w:szCs w:val="44"/>
        </w:rPr>
      </w:pPr>
    </w:p>
    <w:p>
      <w:pPr>
        <w:spacing w:line="560" w:lineRule="exact"/>
        <w:ind w:firstLine="560" w:firstLineChars="200"/>
        <w:rPr>
          <w:rFonts w:ascii="方正仿宋_GBK" w:eastAsia="方正仿宋_GBK" w:cs="Times New Roman"/>
          <w:color w:val="FF0000"/>
          <w:sz w:val="28"/>
          <w:szCs w:val="28"/>
        </w:rPr>
      </w:pPr>
      <w:r>
        <w:rPr>
          <w:rFonts w:hint="eastAsia" w:ascii="方正仿宋_GBK" w:hAnsi="宋体" w:eastAsia="方正仿宋_GBK" w:cs="Times New Roman"/>
          <w:sz w:val="28"/>
          <w:szCs w:val="28"/>
        </w:rPr>
        <w:t>重庆市中医骨科医院现有污水在线监测系统2台，经院长办公会讨论决定</w:t>
      </w:r>
      <w:r>
        <w:rPr>
          <w:rFonts w:hint="eastAsia" w:ascii="方正仿宋_GBK" w:eastAsia="方正仿宋_GBK"/>
          <w:sz w:val="28"/>
          <w:szCs w:val="28"/>
        </w:rPr>
        <w:t>，拟通过比选确定维保单位，服务期限</w:t>
      </w:r>
      <w:r>
        <w:rPr>
          <w:rFonts w:hint="eastAsia" w:ascii="方正仿宋_GBK" w:eastAsia="方正仿宋_GBK"/>
          <w:sz w:val="28"/>
          <w:szCs w:val="28"/>
          <w:lang w:val="en-US" w:eastAsia="zh-CN"/>
        </w:rPr>
        <w:t>1</w:t>
      </w:r>
      <w:r>
        <w:rPr>
          <w:rFonts w:hint="eastAsia" w:ascii="方正仿宋_GBK" w:eastAsia="方正仿宋_GBK"/>
          <w:sz w:val="28"/>
          <w:szCs w:val="28"/>
        </w:rPr>
        <w:t>年。</w:t>
      </w:r>
      <w:r>
        <w:rPr>
          <w:rFonts w:hint="eastAsia" w:ascii="方正仿宋_GBK" w:hAnsi="宋体" w:eastAsia="方正仿宋_GBK" w:cs="Times New Roman"/>
          <w:sz w:val="28"/>
          <w:szCs w:val="28"/>
        </w:rPr>
        <w:t>欢迎有资格的竞标人前来投标比选。</w:t>
      </w:r>
    </w:p>
    <w:p>
      <w:pPr>
        <w:spacing w:beforeLines="50" w:afterLines="50" w:line="500" w:lineRule="exact"/>
        <w:ind w:firstLine="562" w:firstLineChars="200"/>
        <w:outlineLvl w:val="0"/>
        <w:rPr>
          <w:rFonts w:ascii="方正仿宋_GBK" w:hAnsi="宋体" w:eastAsia="方正仿宋_GBK" w:cs="Times New Roman"/>
          <w:b/>
          <w:color w:val="000000"/>
          <w:sz w:val="28"/>
          <w:szCs w:val="20"/>
        </w:rPr>
      </w:pPr>
      <w:r>
        <w:rPr>
          <w:rFonts w:hint="eastAsia" w:ascii="方正仿宋_GBK" w:hAnsi="宋体" w:eastAsia="方正仿宋_GBK" w:cs="Times New Roman"/>
          <w:b/>
          <w:color w:val="000000"/>
          <w:sz w:val="28"/>
          <w:szCs w:val="20"/>
        </w:rPr>
        <w:t>一、项目内容</w:t>
      </w:r>
    </w:p>
    <w:tbl>
      <w:tblPr>
        <w:tblStyle w:val="10"/>
        <w:tblW w:w="89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58" w:type="dxa"/>
            <w:vAlign w:val="center"/>
          </w:tcPr>
          <w:p>
            <w:pPr>
              <w:spacing w:line="500" w:lineRule="exact"/>
              <w:jc w:val="center"/>
              <w:outlineLvl w:val="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名称及内容</w:t>
            </w:r>
          </w:p>
        </w:tc>
        <w:tc>
          <w:tcPr>
            <w:tcW w:w="3402" w:type="dxa"/>
            <w:vAlign w:val="center"/>
          </w:tcPr>
          <w:p>
            <w:pPr>
              <w:spacing w:line="500" w:lineRule="exact"/>
              <w:jc w:val="center"/>
              <w:outlineLvl w:val="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投标最高限价（万元/年）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558" w:type="dxa"/>
            <w:vAlign w:val="center"/>
          </w:tcPr>
          <w:p>
            <w:pPr>
              <w:spacing w:line="500" w:lineRule="exact"/>
              <w:jc w:val="center"/>
              <w:outlineLvl w:val="0"/>
              <w:rPr>
                <w:rFonts w:ascii="方正仿宋_GBK" w:hAnsi="宋体" w:eastAsia="方正仿宋_GBK" w:cs="Times New Roman"/>
                <w:sz w:val="28"/>
                <w:szCs w:val="28"/>
              </w:rPr>
            </w:pPr>
            <w:r>
              <w:rPr>
                <w:rFonts w:hint="eastAsia" w:ascii="方正仿宋_GBK" w:hAnsi="宋体" w:eastAsia="方正仿宋_GBK" w:cs="Times New Roman"/>
                <w:sz w:val="28"/>
                <w:szCs w:val="28"/>
              </w:rPr>
              <w:t>重庆市中医骨科医院污水在线监测系统</w:t>
            </w:r>
          </w:p>
          <w:p>
            <w:pPr>
              <w:spacing w:line="500" w:lineRule="exact"/>
              <w:jc w:val="center"/>
              <w:outlineLvl w:val="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维保单位</w:t>
            </w:r>
          </w:p>
          <w:p>
            <w:pPr>
              <w:spacing w:line="500" w:lineRule="exact"/>
              <w:jc w:val="center"/>
              <w:outlineLvl w:val="0"/>
              <w:rPr>
                <w:rFonts w:hint="eastAsia" w:ascii="方正仿宋_GBK" w:hAnsi="宋体" w:eastAsia="方正仿宋_GBK" w:cs="Times New Roman"/>
                <w:color w:val="000000" w:themeColor="text1"/>
                <w:sz w:val="28"/>
                <w:szCs w:val="20"/>
                <w:lang w:eastAsia="zh-CN"/>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污水在线一体化机柜2台</w:t>
            </w:r>
            <w:r>
              <w:rPr>
                <w:rFonts w:hint="eastAsia" w:ascii="方正仿宋_GBK" w:hAnsi="宋体" w:eastAsia="方正仿宋_GBK" w:cs="Times New Roman"/>
                <w:sz w:val="28"/>
                <w:szCs w:val="28"/>
                <w:lang w:eastAsia="zh-CN"/>
              </w:rPr>
              <w:t>）</w:t>
            </w:r>
          </w:p>
        </w:tc>
        <w:tc>
          <w:tcPr>
            <w:tcW w:w="3402" w:type="dxa"/>
            <w:vAlign w:val="center"/>
          </w:tcPr>
          <w:p>
            <w:pPr>
              <w:spacing w:line="500" w:lineRule="exact"/>
              <w:jc w:val="center"/>
              <w:outlineLvl w:val="0"/>
              <w:rPr>
                <w:rFonts w:ascii="方正仿宋_GBK" w:hAnsi="宋体" w:eastAsia="方正仿宋_GBK" w:cs="Times New Roman"/>
                <w:sz w:val="28"/>
                <w:szCs w:val="28"/>
              </w:rPr>
            </w:pPr>
            <w:r>
              <w:rPr>
                <w:rFonts w:ascii="方正仿宋_GBK" w:hAnsi="宋体" w:eastAsia="方正仿宋_GBK" w:cs="Times New Roman"/>
                <w:color w:val="FF0000"/>
                <w:sz w:val="28"/>
                <w:szCs w:val="28"/>
              </w:rPr>
              <w:t>3</w:t>
            </w:r>
          </w:p>
        </w:tc>
      </w:tr>
    </w:tbl>
    <w:p>
      <w:pPr>
        <w:spacing w:beforeLines="50" w:line="500" w:lineRule="exact"/>
        <w:ind w:firstLine="562" w:firstLineChars="200"/>
        <w:jc w:val="left"/>
        <w:outlineLvl w:val="0"/>
        <w:rPr>
          <w:rFonts w:ascii="方正仿宋_GBK" w:hAnsi="宋体" w:eastAsia="方正仿宋_GBK" w:cs="Times New Roman"/>
          <w:b/>
          <w:color w:val="FF0000"/>
          <w:sz w:val="28"/>
          <w:szCs w:val="20"/>
        </w:rPr>
      </w:pPr>
      <w:r>
        <w:rPr>
          <w:rFonts w:hint="eastAsia" w:ascii="方正仿宋_GBK" w:hAnsi="宋体" w:eastAsia="方正仿宋_GBK" w:cs="Times New Roman"/>
          <w:b/>
          <w:color w:val="FF0000"/>
          <w:sz w:val="28"/>
          <w:szCs w:val="20"/>
        </w:rPr>
        <w:t>二、项目概况与招标范围</w:t>
      </w:r>
    </w:p>
    <w:p>
      <w:pPr>
        <w:spacing w:line="560" w:lineRule="exact"/>
        <w:ind w:firstLine="560" w:firstLineChars="200"/>
        <w:jc w:val="left"/>
        <w:outlineLvl w:val="0"/>
        <w:rPr>
          <w:rFonts w:ascii="方正仿宋_GBK" w:eastAsia="方正仿宋_GBK"/>
          <w:color w:val="000000" w:themeColor="text1"/>
          <w:sz w:val="28"/>
          <w:szCs w:val="28"/>
        </w:rPr>
      </w:pPr>
      <w:r>
        <w:rPr>
          <w:rFonts w:hint="eastAsia" w:ascii="方正仿宋_GBK" w:hAnsi="宋体" w:eastAsia="方正仿宋_GBK" w:cs="宋体"/>
          <w:color w:val="000000" w:themeColor="text1"/>
          <w:kern w:val="0"/>
          <w:sz w:val="28"/>
          <w:szCs w:val="28"/>
        </w:rPr>
        <w:t>1、</w:t>
      </w:r>
      <w:r>
        <w:rPr>
          <w:rFonts w:hint="eastAsia" w:ascii="方正仿宋_GBK" w:hAnsi="宋体" w:eastAsia="方正仿宋_GBK" w:cs="Times New Roman"/>
          <w:color w:val="000000" w:themeColor="text1"/>
          <w:sz w:val="28"/>
          <w:szCs w:val="20"/>
        </w:rPr>
        <w:t>项目概况：</w:t>
      </w:r>
      <w:r>
        <w:rPr>
          <w:rFonts w:hint="eastAsia" w:ascii="方正仿宋_GBK" w:hAnsi="宋体" w:eastAsia="方正仿宋_GBK" w:cs="Times New Roman"/>
          <w:sz w:val="28"/>
          <w:szCs w:val="28"/>
        </w:rPr>
        <w:t>重庆市中医骨科医院现有污水在线一体化机柜2台，内有数据采集仪，流量在线分析仪，PH在线分析仪、SS在线分析仪、COD在线分析仪、空调等。两台机柜分别位于较场口院区</w:t>
      </w:r>
      <w:r>
        <w:rPr>
          <w:rFonts w:hint="eastAsia" w:ascii="方正仿宋_GBK" w:hAnsi="宋体" w:eastAsia="方正仿宋_GBK" w:cs="Times New Roman"/>
          <w:color w:val="000000" w:themeColor="text1"/>
          <w:sz w:val="28"/>
          <w:szCs w:val="28"/>
        </w:rPr>
        <w:t>（</w:t>
      </w:r>
      <w:r>
        <w:rPr>
          <w:rFonts w:hint="eastAsia" w:ascii="方正仿宋_GBK" w:eastAsia="方正仿宋_GBK"/>
          <w:color w:val="000000" w:themeColor="text1"/>
          <w:sz w:val="28"/>
          <w:szCs w:val="28"/>
        </w:rPr>
        <w:t>渝中区新华路</w:t>
      </w:r>
      <w:r>
        <w:rPr>
          <w:rFonts w:ascii="方正仿宋_GBK" w:eastAsia="方正仿宋_GBK"/>
          <w:color w:val="000000" w:themeColor="text1"/>
          <w:sz w:val="28"/>
          <w:szCs w:val="28"/>
        </w:rPr>
        <w:t>489</w:t>
      </w:r>
      <w:r>
        <w:rPr>
          <w:rFonts w:hint="eastAsia" w:ascii="方正仿宋_GBK" w:eastAsia="方正仿宋_GBK"/>
          <w:color w:val="000000" w:themeColor="text1"/>
          <w:sz w:val="28"/>
          <w:szCs w:val="28"/>
        </w:rPr>
        <w:t>号</w:t>
      </w:r>
      <w:r>
        <w:rPr>
          <w:rFonts w:hint="eastAsia" w:ascii="方正仿宋_GBK" w:hAnsi="宋体" w:eastAsia="方正仿宋_GBK" w:cs="Times New Roman"/>
          <w:color w:val="000000" w:themeColor="text1"/>
          <w:sz w:val="28"/>
          <w:szCs w:val="28"/>
        </w:rPr>
        <w:t>）</w:t>
      </w:r>
      <w:r>
        <w:rPr>
          <w:rFonts w:hint="eastAsia" w:ascii="方正仿宋_GBK" w:eastAsia="方正仿宋_GBK"/>
          <w:color w:val="000000" w:themeColor="text1"/>
          <w:sz w:val="28"/>
          <w:szCs w:val="28"/>
        </w:rPr>
        <w:t>和储奇门院区（渝中区解放西路9号）。</w:t>
      </w:r>
    </w:p>
    <w:p>
      <w:pPr>
        <w:spacing w:line="560" w:lineRule="exact"/>
        <w:ind w:firstLine="560" w:firstLineChars="200"/>
        <w:outlineLvl w:val="0"/>
        <w:rPr>
          <w:rFonts w:ascii="方正仿宋_GBK" w:hAnsi="宋体" w:eastAsia="方正仿宋_GBK" w:cs="Times New Roman"/>
          <w:color w:val="FF0000"/>
          <w:sz w:val="28"/>
          <w:szCs w:val="20"/>
        </w:rPr>
      </w:pPr>
      <w:r>
        <w:rPr>
          <w:rFonts w:ascii="方正仿宋_GBK" w:hAnsi="宋体" w:eastAsia="方正仿宋_GBK" w:cs="Times New Roman"/>
          <w:color w:val="FF0000"/>
          <w:sz w:val="28"/>
          <w:szCs w:val="20"/>
        </w:rPr>
        <w:t>2</w:t>
      </w:r>
      <w:r>
        <w:rPr>
          <w:rFonts w:hint="eastAsia" w:ascii="方正仿宋_GBK" w:hAnsi="宋体" w:eastAsia="方正仿宋_GBK" w:cs="Times New Roman"/>
          <w:color w:val="FF0000"/>
          <w:sz w:val="28"/>
          <w:szCs w:val="20"/>
        </w:rPr>
        <w:t>、招标范围：</w:t>
      </w:r>
      <w:r>
        <w:rPr>
          <w:rFonts w:hint="eastAsia" w:ascii="方正仿宋_GBK" w:hAnsi="宋体" w:eastAsia="方正仿宋_GBK" w:cs="Times New Roman"/>
          <w:color w:val="FF0000"/>
          <w:sz w:val="28"/>
          <w:szCs w:val="28"/>
        </w:rPr>
        <w:t>污水在线一体化机柜和在线分析仪的维修维保工作</w:t>
      </w:r>
    </w:p>
    <w:p>
      <w:pPr>
        <w:spacing w:line="560" w:lineRule="exact"/>
        <w:ind w:firstLine="560" w:firstLineChars="200"/>
        <w:outlineLvl w:val="0"/>
        <w:rPr>
          <w:rFonts w:ascii="方正仿宋_GBK" w:hAnsi="宋体" w:eastAsia="方正仿宋_GBK" w:cs="Times New Roman"/>
          <w:color w:val="FF0000"/>
          <w:sz w:val="28"/>
          <w:szCs w:val="20"/>
        </w:rPr>
      </w:pPr>
      <w:r>
        <w:rPr>
          <w:rFonts w:hint="eastAsia" w:ascii="方正仿宋_GBK" w:hAnsi="宋体" w:eastAsia="方正仿宋_GBK" w:cs="Times New Roman"/>
          <w:color w:val="FF0000"/>
          <w:sz w:val="28"/>
          <w:szCs w:val="20"/>
        </w:rPr>
        <w:t>3、服务要求：</w:t>
      </w:r>
    </w:p>
    <w:p>
      <w:pPr>
        <w:spacing w:line="560" w:lineRule="exact"/>
        <w:ind w:firstLine="560" w:firstLineChars="200"/>
        <w:outlineLvl w:val="0"/>
        <w:rPr>
          <w:rFonts w:ascii="方正仿宋_GBK" w:hAnsi="宋体" w:eastAsia="方正仿宋_GBK" w:cs="Times New Roman"/>
          <w:color w:val="FF0000"/>
          <w:sz w:val="28"/>
          <w:szCs w:val="28"/>
        </w:rPr>
      </w:pPr>
      <w:r>
        <w:rPr>
          <w:rFonts w:hint="eastAsia" w:ascii="方正仿宋_GBK" w:hAnsi="宋体" w:eastAsia="方正仿宋_GBK" w:cs="Times New Roman"/>
          <w:color w:val="FF0000"/>
          <w:sz w:val="28"/>
          <w:szCs w:val="20"/>
        </w:rPr>
        <w:t>（1）</w:t>
      </w:r>
      <w:r>
        <w:rPr>
          <w:rFonts w:hint="eastAsia" w:ascii="方正仿宋_GBK" w:hAnsi="宋体" w:eastAsia="方正仿宋_GBK" w:cs="Times New Roman"/>
          <w:color w:val="FF0000"/>
          <w:sz w:val="28"/>
          <w:szCs w:val="28"/>
        </w:rPr>
        <w:t>污水在线一体化机柜和在线分析仪的日常维保工作，保证其正常工作。</w:t>
      </w:r>
    </w:p>
    <w:p>
      <w:pPr>
        <w:spacing w:line="560" w:lineRule="exact"/>
        <w:ind w:firstLine="560" w:firstLineChars="200"/>
        <w:outlineLvl w:val="0"/>
        <w:rPr>
          <w:rFonts w:ascii="方正仿宋_GBK" w:hAnsi="宋体" w:eastAsia="方正仿宋_GBK" w:cs="Times New Roman"/>
          <w:color w:val="FF0000"/>
          <w:sz w:val="28"/>
          <w:szCs w:val="28"/>
        </w:rPr>
      </w:pPr>
      <w:r>
        <w:rPr>
          <w:rFonts w:hint="eastAsia" w:ascii="方正仿宋_GBK" w:hAnsi="宋体" w:eastAsia="方正仿宋_GBK" w:cs="Times New Roman"/>
          <w:color w:val="FF0000"/>
          <w:sz w:val="28"/>
          <w:szCs w:val="28"/>
        </w:rPr>
        <w:t>（2）维护在线监测数据，发现数据异常时能及时通知医院，并查找数据异常原因。</w:t>
      </w:r>
    </w:p>
    <w:p>
      <w:pPr>
        <w:spacing w:line="560" w:lineRule="exact"/>
        <w:ind w:firstLine="560" w:firstLineChars="200"/>
        <w:outlineLvl w:val="0"/>
        <w:rPr>
          <w:rFonts w:hint="eastAsia" w:ascii="方正仿宋_GBK" w:hAnsi="宋体" w:eastAsia="方正仿宋_GBK" w:cs="Times New Roman"/>
          <w:color w:val="FF0000"/>
          <w:sz w:val="28"/>
          <w:szCs w:val="28"/>
        </w:rPr>
      </w:pPr>
      <w:r>
        <w:rPr>
          <w:rFonts w:hint="eastAsia" w:ascii="方正仿宋_GBK" w:hAnsi="宋体" w:eastAsia="方正仿宋_GBK" w:cs="Times New Roman"/>
          <w:color w:val="FF0000"/>
          <w:sz w:val="28"/>
          <w:szCs w:val="28"/>
        </w:rPr>
        <w:t>（3）设备发生故障时，能及时前往现场查看，并向医院提出维修方案。</w:t>
      </w:r>
    </w:p>
    <w:p>
      <w:pPr>
        <w:pStyle w:val="2"/>
        <w:rPr>
          <w:rFonts w:hint="default" w:eastAsia="方正仿宋_GBK"/>
          <w:lang w:val="en-US" w:eastAsia="zh-CN"/>
        </w:rPr>
      </w:pPr>
      <w:r>
        <w:rPr>
          <w:rFonts w:hint="eastAsia" w:ascii="方正仿宋_GBK" w:hAnsi="宋体" w:eastAsia="方正仿宋_GBK" w:cs="Times New Roman"/>
          <w:color w:val="FF0000"/>
          <w:sz w:val="28"/>
          <w:szCs w:val="28"/>
        </w:rPr>
        <w:t>（</w:t>
      </w:r>
      <w:r>
        <w:rPr>
          <w:rFonts w:hint="eastAsia" w:ascii="方正仿宋_GBK" w:hAnsi="宋体" w:eastAsia="方正仿宋_GBK" w:cs="Times New Roman"/>
          <w:color w:val="FF0000"/>
          <w:sz w:val="28"/>
          <w:szCs w:val="28"/>
          <w:lang w:val="en-US" w:eastAsia="zh-CN"/>
        </w:rPr>
        <w:t>4</w:t>
      </w:r>
      <w:r>
        <w:rPr>
          <w:rFonts w:hint="eastAsia" w:ascii="方正仿宋_GBK" w:hAnsi="宋体" w:eastAsia="方正仿宋_GBK" w:cs="Times New Roman"/>
          <w:color w:val="FF0000"/>
          <w:sz w:val="28"/>
          <w:szCs w:val="28"/>
        </w:rPr>
        <w:t>）</w:t>
      </w:r>
      <w:r>
        <w:rPr>
          <w:rFonts w:hint="eastAsia" w:ascii="方正仿宋_GBK" w:hAnsi="宋体" w:eastAsia="方正仿宋_GBK" w:cs="Times New Roman"/>
          <w:color w:val="FF0000"/>
          <w:sz w:val="28"/>
          <w:szCs w:val="28"/>
          <w:lang w:val="en-US" w:eastAsia="zh-CN"/>
        </w:rPr>
        <w:t>投标人需承诺保证检测试剂使用后由投标人自行安全处置，如发生泄漏，由投标人自行承担责任。</w:t>
      </w:r>
    </w:p>
    <w:p>
      <w:pPr>
        <w:spacing w:line="560" w:lineRule="exact"/>
        <w:ind w:firstLine="562" w:firstLineChars="200"/>
        <w:outlineLvl w:val="0"/>
        <w:rPr>
          <w:rFonts w:ascii="方正仿宋_GBK" w:hAnsi="宋体" w:eastAsia="方正仿宋_GBK" w:cs="Times New Roman"/>
          <w:b/>
          <w:color w:val="000000" w:themeColor="text1"/>
          <w:sz w:val="28"/>
          <w:szCs w:val="20"/>
        </w:rPr>
      </w:pPr>
      <w:r>
        <w:rPr>
          <w:rFonts w:hint="eastAsia" w:ascii="方正仿宋_GBK" w:hAnsi="宋体" w:eastAsia="方正仿宋_GBK" w:cs="Times New Roman"/>
          <w:b/>
          <w:color w:val="000000" w:themeColor="text1"/>
          <w:sz w:val="28"/>
          <w:szCs w:val="20"/>
        </w:rPr>
        <w:t>三、投标人资格要求</w:t>
      </w:r>
    </w:p>
    <w:p>
      <w:pPr>
        <w:spacing w:line="50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（一）基本资格条件</w:t>
      </w:r>
    </w:p>
    <w:p>
      <w:pPr>
        <w:snapToGrid w:val="0"/>
        <w:spacing w:line="560" w:lineRule="exact"/>
        <w:ind w:firstLine="560" w:firstLineChars="200"/>
        <w:rPr>
          <w:rFonts w:ascii="方正仿宋_GBK" w:hAnsi="宋体" w:eastAsia="方正仿宋_GBK" w:cs="Times New Roman"/>
          <w:color w:val="000000" w:themeColor="text1"/>
          <w:sz w:val="28"/>
          <w:szCs w:val="20"/>
        </w:rPr>
      </w:pPr>
      <w:r>
        <w:rPr>
          <w:rFonts w:hint="eastAsia" w:ascii="方正仿宋_GBK" w:hAnsi="宋体" w:eastAsia="方正仿宋_GBK" w:cs="Times New Roman"/>
          <w:color w:val="000000" w:themeColor="text1"/>
          <w:sz w:val="28"/>
          <w:szCs w:val="20"/>
        </w:rPr>
        <w:t>1、具有独立承担民事责任的能力；</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s="Times New Roman"/>
          <w:color w:val="000000" w:themeColor="text1"/>
          <w:sz w:val="28"/>
          <w:szCs w:val="20"/>
        </w:rPr>
        <w:t>2、</w:t>
      </w:r>
      <w:r>
        <w:rPr>
          <w:rFonts w:hint="eastAsia" w:ascii="方正仿宋_GBK" w:hAnsi="宋体" w:eastAsia="方正仿宋_GBK"/>
          <w:color w:val="000000" w:themeColor="text1"/>
          <w:sz w:val="28"/>
          <w:szCs w:val="28"/>
        </w:rPr>
        <w:t>具有履行合同必需的设备和专业技术能力；</w:t>
      </w:r>
    </w:p>
    <w:p>
      <w:pPr>
        <w:snapToGrid w:val="0"/>
        <w:spacing w:line="56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olor w:val="000000" w:themeColor="text1"/>
          <w:sz w:val="28"/>
          <w:szCs w:val="28"/>
        </w:rPr>
        <w:t>3、</w:t>
      </w:r>
      <w:r>
        <w:rPr>
          <w:rFonts w:hint="eastAsia" w:ascii="方正仿宋_GBK" w:hAnsi="宋体" w:eastAsia="方正仿宋_GBK" w:cs="Times New Roman"/>
          <w:color w:val="000000"/>
          <w:sz w:val="28"/>
          <w:szCs w:val="20"/>
        </w:rPr>
        <w:t>政府采购活动近三年内，在经营活动中没有重大违法记录。</w:t>
      </w:r>
    </w:p>
    <w:p>
      <w:pPr>
        <w:spacing w:line="500" w:lineRule="exact"/>
        <w:ind w:firstLine="560" w:firstLineChars="200"/>
        <w:rPr>
          <w:rFonts w:ascii="方正仿宋_GBK" w:hAnsi="宋体" w:eastAsia="方正仿宋_GBK" w:cs="Times New Roman"/>
          <w:color w:val="000000" w:themeColor="text1"/>
          <w:sz w:val="28"/>
          <w:szCs w:val="20"/>
        </w:rPr>
      </w:pPr>
      <w:r>
        <w:rPr>
          <w:rFonts w:hint="eastAsia" w:ascii="方正仿宋_GBK" w:hAnsi="宋体" w:eastAsia="方正仿宋_GBK" w:cs="Times New Roman"/>
          <w:color w:val="000000" w:themeColor="text1"/>
          <w:sz w:val="28"/>
          <w:szCs w:val="20"/>
        </w:rPr>
        <w:t>（二）特定资格条件</w:t>
      </w:r>
    </w:p>
    <w:p>
      <w:pPr>
        <w:snapToGrid w:val="0"/>
        <w:spacing w:line="560" w:lineRule="exact"/>
        <w:ind w:firstLine="560" w:firstLineChars="200"/>
        <w:rPr>
          <w:rFonts w:ascii="方正仿宋_GBK" w:eastAsia="方正仿宋_GBK"/>
          <w:color w:val="FF0000"/>
          <w:sz w:val="28"/>
          <w:szCs w:val="28"/>
        </w:rPr>
      </w:pPr>
      <w:r>
        <w:rPr>
          <w:rFonts w:hint="eastAsia" w:ascii="方正仿宋_GBK" w:eastAsia="方正仿宋_GBK"/>
          <w:color w:val="FF0000"/>
          <w:sz w:val="28"/>
          <w:szCs w:val="28"/>
        </w:rPr>
        <w:t>1、投标人应具有重庆市污染治理设施运行服务能力评价证书，自动连续监测（水）三级及以上资质，</w:t>
      </w:r>
    </w:p>
    <w:p>
      <w:pPr>
        <w:snapToGrid w:val="0"/>
        <w:spacing w:line="560" w:lineRule="exact"/>
        <w:ind w:firstLine="560" w:firstLineChars="200"/>
        <w:rPr>
          <w:rFonts w:ascii="方正仿宋_GBK" w:hAnsi="宋体" w:eastAsia="方正仿宋_GBK" w:cs="Times New Roman"/>
          <w:color w:val="FF0000"/>
          <w:sz w:val="28"/>
          <w:szCs w:val="28"/>
        </w:rPr>
      </w:pPr>
      <w:r>
        <w:rPr>
          <w:rFonts w:hint="eastAsia" w:ascii="方正仿宋_GBK" w:eastAsia="方正仿宋_GBK"/>
          <w:color w:val="FF0000"/>
          <w:sz w:val="28"/>
          <w:szCs w:val="28"/>
        </w:rPr>
        <w:t>2、投标人需提供至少2名维护人员，维护人员需持有水质《环境污染治理设施运运营培训合格证书》</w:t>
      </w:r>
    </w:p>
    <w:p>
      <w:pPr>
        <w:spacing w:line="560" w:lineRule="exact"/>
        <w:ind w:firstLine="562" w:firstLineChars="200"/>
        <w:outlineLvl w:val="0"/>
        <w:rPr>
          <w:rFonts w:ascii="方正仿宋_GBK" w:hAnsi="宋体" w:eastAsia="方正仿宋_GBK" w:cs="Times New Roman"/>
          <w:b/>
          <w:color w:val="000000"/>
          <w:sz w:val="28"/>
          <w:szCs w:val="20"/>
        </w:rPr>
      </w:pPr>
      <w:r>
        <w:rPr>
          <w:rFonts w:hint="eastAsia" w:ascii="方正仿宋_GBK" w:hAnsi="宋体" w:eastAsia="方正仿宋_GBK" w:cs="Times New Roman"/>
          <w:b/>
          <w:color w:val="000000"/>
          <w:sz w:val="28"/>
          <w:szCs w:val="20"/>
        </w:rPr>
        <w:t>四、投标材料（均加盖公章）</w:t>
      </w:r>
    </w:p>
    <w:p>
      <w:pPr>
        <w:snapToGrid w:val="0"/>
        <w:spacing w:line="500" w:lineRule="exact"/>
        <w:ind w:firstLine="560" w:firstLineChars="200"/>
        <w:rPr>
          <w:rFonts w:ascii="方正仿宋_GBK" w:hAnsi="宋体" w:eastAsia="方正仿宋_GBK" w:cs="Times New Roman"/>
          <w:color w:val="000000" w:themeColor="text1"/>
          <w:sz w:val="28"/>
          <w:szCs w:val="20"/>
        </w:rPr>
      </w:pPr>
      <w:r>
        <w:rPr>
          <w:rFonts w:hint="eastAsia" w:ascii="方正仿宋_GBK" w:hAnsi="宋体" w:eastAsia="方正仿宋_GBK" w:cs="Times New Roman"/>
          <w:color w:val="000000" w:themeColor="text1"/>
          <w:sz w:val="28"/>
          <w:szCs w:val="20"/>
        </w:rPr>
        <w:t>1、报价单</w:t>
      </w:r>
    </w:p>
    <w:p>
      <w:pPr>
        <w:snapToGrid w:val="0"/>
        <w:spacing w:line="50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2、企业营业执照复印件</w:t>
      </w:r>
    </w:p>
    <w:p>
      <w:pPr>
        <w:snapToGrid w:val="0"/>
        <w:spacing w:line="50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3、法定代表人身份证明</w:t>
      </w:r>
    </w:p>
    <w:p>
      <w:pPr>
        <w:snapToGrid w:val="0"/>
        <w:spacing w:line="50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4、法定代表人委托书</w:t>
      </w:r>
    </w:p>
    <w:p>
      <w:pPr>
        <w:snapToGrid w:val="0"/>
        <w:spacing w:line="50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5、资质证书复印件</w:t>
      </w:r>
    </w:p>
    <w:p>
      <w:pPr>
        <w:snapToGrid w:val="0"/>
        <w:spacing w:line="50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6、维保方案</w:t>
      </w:r>
    </w:p>
    <w:p>
      <w:pPr>
        <w:snapToGrid w:val="0"/>
        <w:spacing w:line="56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7、无重大违法违纪记录声明</w:t>
      </w:r>
    </w:p>
    <w:p>
      <w:pPr>
        <w:snapToGrid w:val="0"/>
        <w:spacing w:line="560" w:lineRule="exact"/>
        <w:ind w:firstLine="562" w:firstLineChars="200"/>
        <w:rPr>
          <w:rFonts w:ascii="方正仿宋_GBK" w:hAnsi="宋体" w:eastAsia="方正仿宋_GBK" w:cs="Times New Roman"/>
          <w:b/>
          <w:color w:val="000000"/>
          <w:sz w:val="28"/>
          <w:szCs w:val="20"/>
        </w:rPr>
      </w:pPr>
      <w:r>
        <w:rPr>
          <w:rFonts w:hint="eastAsia" w:ascii="方正仿宋_GBK" w:hAnsi="宋体" w:eastAsia="方正仿宋_GBK" w:cs="Times New Roman"/>
          <w:b/>
          <w:color w:val="000000"/>
          <w:sz w:val="28"/>
          <w:szCs w:val="20"/>
        </w:rPr>
        <w:t>五、投标、开标有关说明</w:t>
      </w:r>
    </w:p>
    <w:p>
      <w:pPr>
        <w:snapToGrid w:val="0"/>
        <w:spacing w:line="560" w:lineRule="exact"/>
        <w:ind w:firstLine="560" w:firstLineChars="200"/>
        <w:rPr>
          <w:rFonts w:ascii="方正仿宋_GBK" w:hAnsi="宋体" w:eastAsia="方正仿宋_GBK" w:cs="Times New Roman"/>
          <w:b/>
          <w:color w:val="000000"/>
          <w:sz w:val="28"/>
          <w:szCs w:val="20"/>
        </w:rPr>
      </w:pPr>
      <w:r>
        <w:rPr>
          <w:rFonts w:hint="eastAsia" w:ascii="方正仿宋_GBK" w:hAnsi="宋体" w:eastAsia="方正仿宋_GBK" w:cs="Times New Roman"/>
          <w:color w:val="000000" w:themeColor="text1"/>
          <w:sz w:val="28"/>
          <w:szCs w:val="20"/>
        </w:rPr>
        <w:t>1、投标人必须查勘现场，结合实地情况。未前来实地查勘的投标人，不接收其投标。</w:t>
      </w:r>
    </w:p>
    <w:p>
      <w:pPr>
        <w:snapToGrid w:val="0"/>
        <w:spacing w:line="560" w:lineRule="exact"/>
        <w:ind w:firstLine="562" w:firstLineChars="200"/>
        <w:rPr>
          <w:rFonts w:ascii="方正仿宋_GBK" w:hAnsi="宋体" w:eastAsia="方正仿宋_GBK" w:cs="Times New Roman"/>
          <w:b/>
          <w:color w:val="000000" w:themeColor="text1"/>
          <w:sz w:val="28"/>
          <w:szCs w:val="20"/>
        </w:rPr>
      </w:pPr>
      <w:r>
        <w:rPr>
          <w:rFonts w:hint="eastAsia" w:ascii="方正仿宋_GBK" w:hAnsi="宋体" w:eastAsia="方正仿宋_GBK" w:cs="Times New Roman"/>
          <w:b/>
          <w:color w:val="000000" w:themeColor="text1"/>
          <w:sz w:val="28"/>
          <w:szCs w:val="20"/>
        </w:rPr>
        <w:t>查勘现场时间和地点：</w:t>
      </w:r>
    </w:p>
    <w:p>
      <w:pPr>
        <w:snapToGrid w:val="0"/>
        <w:spacing w:line="560" w:lineRule="exact"/>
        <w:ind w:firstLine="560" w:firstLineChars="200"/>
        <w:rPr>
          <w:rFonts w:ascii="方正仿宋_GBK" w:hAnsi="宋体" w:eastAsia="方正仿宋_GBK" w:cs="Times New Roman"/>
          <w:color w:val="000000" w:themeColor="text1"/>
          <w:sz w:val="28"/>
          <w:szCs w:val="28"/>
        </w:rPr>
      </w:pPr>
      <w:r>
        <w:rPr>
          <w:rFonts w:hint="eastAsia" w:ascii="方正仿宋_GBK" w:hAnsi="宋体" w:eastAsia="方正仿宋_GBK" w:cs="Times New Roman"/>
          <w:sz w:val="28"/>
          <w:szCs w:val="20"/>
        </w:rPr>
        <w:t>时间：</w:t>
      </w:r>
      <w:r>
        <w:rPr>
          <w:rFonts w:hint="eastAsia" w:ascii="方正仿宋_GBK" w:hAnsi="宋体" w:eastAsia="方正仿宋_GBK" w:cs="Times New Roman"/>
          <w:color w:val="FF0000"/>
          <w:sz w:val="28"/>
          <w:szCs w:val="28"/>
        </w:rPr>
        <w:t>202</w:t>
      </w:r>
      <w:r>
        <w:rPr>
          <w:rFonts w:ascii="方正仿宋_GBK" w:hAnsi="宋体" w:eastAsia="方正仿宋_GBK" w:cs="Times New Roman"/>
          <w:color w:val="FF0000"/>
          <w:sz w:val="28"/>
          <w:szCs w:val="28"/>
        </w:rPr>
        <w:t>3</w:t>
      </w:r>
      <w:r>
        <w:rPr>
          <w:rFonts w:hint="eastAsia" w:ascii="方正仿宋_GBK" w:hAnsi="宋体" w:eastAsia="方正仿宋_GBK" w:cs="Times New Roman"/>
          <w:color w:val="FF0000"/>
          <w:sz w:val="28"/>
          <w:szCs w:val="28"/>
        </w:rPr>
        <w:t>年</w:t>
      </w:r>
      <w:r>
        <w:rPr>
          <w:rFonts w:hint="eastAsia" w:ascii="方正仿宋_GBK" w:hAnsi="宋体" w:eastAsia="方正仿宋_GBK" w:cs="Times New Roman"/>
          <w:color w:val="FF0000"/>
          <w:sz w:val="28"/>
          <w:szCs w:val="28"/>
          <w:lang w:val="en-US" w:eastAsia="zh-CN"/>
        </w:rPr>
        <w:t>4</w:t>
      </w:r>
      <w:r>
        <w:rPr>
          <w:rFonts w:hint="eastAsia" w:ascii="方正仿宋_GBK" w:hAnsi="宋体" w:eastAsia="方正仿宋_GBK" w:cs="Times New Roman"/>
          <w:color w:val="FF0000"/>
          <w:sz w:val="28"/>
          <w:szCs w:val="28"/>
        </w:rPr>
        <w:t>月</w:t>
      </w:r>
      <w:r>
        <w:rPr>
          <w:rFonts w:hint="eastAsia" w:ascii="方正仿宋_GBK" w:hAnsi="宋体" w:eastAsia="方正仿宋_GBK" w:cs="Times New Roman"/>
          <w:color w:val="FF0000"/>
          <w:sz w:val="28"/>
          <w:szCs w:val="28"/>
          <w:lang w:val="en-US" w:eastAsia="zh-CN"/>
        </w:rPr>
        <w:t>11</w:t>
      </w:r>
      <w:r>
        <w:rPr>
          <w:rFonts w:hint="eastAsia" w:ascii="方正仿宋_GBK" w:hAnsi="宋体" w:eastAsia="方正仿宋_GBK" w:cs="Times New Roman"/>
          <w:color w:val="FF0000"/>
          <w:sz w:val="28"/>
          <w:szCs w:val="28"/>
        </w:rPr>
        <w:t>日上午10:</w:t>
      </w:r>
      <w:r>
        <w:rPr>
          <w:rFonts w:ascii="方正仿宋_GBK" w:hAnsi="宋体" w:eastAsia="方正仿宋_GBK" w:cs="Times New Roman"/>
          <w:color w:val="FF0000"/>
          <w:sz w:val="28"/>
          <w:szCs w:val="28"/>
        </w:rPr>
        <w:t>0</w:t>
      </w:r>
      <w:r>
        <w:rPr>
          <w:rFonts w:hint="eastAsia" w:ascii="方正仿宋_GBK" w:hAnsi="宋体" w:eastAsia="方正仿宋_GBK" w:cs="Times New Roman"/>
          <w:color w:val="FF0000"/>
          <w:sz w:val="28"/>
          <w:szCs w:val="28"/>
        </w:rPr>
        <w:t>0-1</w:t>
      </w:r>
      <w:r>
        <w:rPr>
          <w:rFonts w:ascii="方正仿宋_GBK" w:hAnsi="宋体" w:eastAsia="方正仿宋_GBK" w:cs="Times New Roman"/>
          <w:color w:val="FF0000"/>
          <w:sz w:val="28"/>
          <w:szCs w:val="28"/>
        </w:rPr>
        <w:t>1</w:t>
      </w:r>
      <w:r>
        <w:rPr>
          <w:rFonts w:hint="eastAsia" w:ascii="方正仿宋_GBK" w:hAnsi="宋体" w:eastAsia="方正仿宋_GBK" w:cs="Times New Roman"/>
          <w:color w:val="FF0000"/>
          <w:sz w:val="28"/>
          <w:szCs w:val="28"/>
        </w:rPr>
        <w:t>:</w:t>
      </w:r>
      <w:r>
        <w:rPr>
          <w:rFonts w:ascii="方正仿宋_GBK" w:hAnsi="宋体" w:eastAsia="方正仿宋_GBK" w:cs="Times New Roman"/>
          <w:color w:val="FF0000"/>
          <w:sz w:val="28"/>
          <w:szCs w:val="28"/>
        </w:rPr>
        <w:t>0</w:t>
      </w:r>
      <w:r>
        <w:rPr>
          <w:rFonts w:hint="eastAsia" w:ascii="方正仿宋_GBK" w:hAnsi="宋体" w:eastAsia="方正仿宋_GBK" w:cs="Times New Roman"/>
          <w:color w:val="FF0000"/>
          <w:sz w:val="28"/>
          <w:szCs w:val="28"/>
        </w:rPr>
        <w:t>0</w:t>
      </w:r>
      <w:r>
        <w:rPr>
          <w:rFonts w:hint="eastAsia" w:ascii="方正仿宋_GBK" w:hAnsi="宋体" w:eastAsia="方正仿宋_GBK" w:cs="Times New Roman"/>
          <w:color w:val="000000" w:themeColor="text1"/>
          <w:sz w:val="28"/>
          <w:szCs w:val="28"/>
        </w:rPr>
        <w:t>，</w:t>
      </w:r>
    </w:p>
    <w:p>
      <w:pPr>
        <w:spacing w:line="560" w:lineRule="exact"/>
        <w:ind w:firstLine="560" w:firstLineChars="200"/>
        <w:rPr>
          <w:rFonts w:ascii="方正仿宋_GBK" w:eastAsia="方正仿宋_GBK"/>
          <w:color w:val="000000" w:themeColor="text1"/>
          <w:sz w:val="28"/>
          <w:szCs w:val="28"/>
        </w:rPr>
      </w:pPr>
      <w:r>
        <w:rPr>
          <w:rFonts w:hint="eastAsia" w:ascii="方正仿宋_GBK" w:hAnsi="宋体" w:eastAsia="方正仿宋_GBK" w:cs="Times New Roman"/>
          <w:color w:val="000000" w:themeColor="text1"/>
          <w:sz w:val="28"/>
          <w:szCs w:val="20"/>
        </w:rPr>
        <w:t>地址：</w:t>
      </w:r>
      <w:r>
        <w:rPr>
          <w:rFonts w:hint="eastAsia" w:ascii="方正仿宋_GBK" w:eastAsia="方正仿宋_GBK"/>
          <w:color w:val="000000" w:themeColor="text1"/>
          <w:sz w:val="28"/>
          <w:szCs w:val="28"/>
        </w:rPr>
        <w:t>渝中区解放西路9号，渝中区新华路</w:t>
      </w:r>
      <w:r>
        <w:rPr>
          <w:rFonts w:ascii="方正仿宋_GBK" w:eastAsia="方正仿宋_GBK"/>
          <w:color w:val="000000" w:themeColor="text1"/>
          <w:sz w:val="28"/>
          <w:szCs w:val="28"/>
        </w:rPr>
        <w:t>489</w:t>
      </w:r>
      <w:r>
        <w:rPr>
          <w:rFonts w:hint="eastAsia" w:ascii="方正仿宋_GBK" w:eastAsia="方正仿宋_GBK"/>
          <w:color w:val="000000" w:themeColor="text1"/>
          <w:sz w:val="28"/>
          <w:szCs w:val="28"/>
        </w:rPr>
        <w:t>号</w:t>
      </w:r>
    </w:p>
    <w:p>
      <w:pPr>
        <w:spacing w:line="560" w:lineRule="exact"/>
        <w:ind w:firstLine="560" w:firstLineChars="200"/>
        <w:rPr>
          <w:rFonts w:ascii="方正仿宋_GBK" w:hAnsi="宋体" w:eastAsia="方正仿宋_GBK" w:cs="Times New Roman"/>
          <w:color w:val="000000" w:themeColor="text1"/>
          <w:sz w:val="28"/>
          <w:szCs w:val="28"/>
        </w:rPr>
      </w:pPr>
      <w:r>
        <w:rPr>
          <w:rFonts w:hint="eastAsia" w:ascii="方正仿宋_GBK" w:hAnsi="宋体" w:eastAsia="方正仿宋_GBK" w:cs="Times New Roman"/>
          <w:color w:val="000000" w:themeColor="text1"/>
          <w:sz w:val="28"/>
          <w:szCs w:val="20"/>
        </w:rPr>
        <w:t>2、投标人在规定时间内查勘现场并按要求报价。于规定时间内交至</w:t>
      </w:r>
      <w:r>
        <w:rPr>
          <w:rFonts w:hint="eastAsia" w:ascii="方正仿宋_GBK" w:hAnsi="宋体" w:eastAsia="方正仿宋_GBK" w:cs="Times New Roman"/>
          <w:color w:val="000000" w:themeColor="text1"/>
          <w:sz w:val="28"/>
          <w:szCs w:val="28"/>
        </w:rPr>
        <w:t>重庆市中医骨科医院后勤保障科（渝中区</w:t>
      </w:r>
      <w:r>
        <w:rPr>
          <w:rFonts w:hint="eastAsia" w:ascii="方正仿宋_GBK" w:hAnsi="宋体" w:eastAsia="方正仿宋_GBK" w:cs="Times New Roman"/>
          <w:color w:val="000000" w:themeColor="text1"/>
          <w:sz w:val="28"/>
          <w:szCs w:val="28"/>
          <w:lang w:val="en-US" w:eastAsia="zh-CN"/>
        </w:rPr>
        <w:t>守备街</w:t>
      </w:r>
      <w:r>
        <w:rPr>
          <w:rFonts w:hint="eastAsia" w:ascii="方正仿宋_GBK" w:hAnsi="宋体" w:eastAsia="方正仿宋_GBK" w:cs="Times New Roman"/>
          <w:color w:val="000000" w:themeColor="text1"/>
          <w:sz w:val="28"/>
          <w:szCs w:val="28"/>
        </w:rPr>
        <w:t>1号</w:t>
      </w:r>
      <w:bookmarkStart w:id="0" w:name="_GoBack"/>
      <w:bookmarkEnd w:id="0"/>
      <w:r>
        <w:rPr>
          <w:rFonts w:hint="eastAsia" w:ascii="方正仿宋_GBK" w:hAnsi="宋体" w:eastAsia="方正仿宋_GBK" w:cs="Times New Roman"/>
          <w:color w:val="000000" w:themeColor="text1"/>
          <w:sz w:val="28"/>
          <w:szCs w:val="28"/>
        </w:rPr>
        <w:t>）。</w:t>
      </w:r>
    </w:p>
    <w:p>
      <w:pPr>
        <w:snapToGrid w:val="0"/>
        <w:spacing w:line="560" w:lineRule="exact"/>
        <w:ind w:firstLine="573"/>
        <w:rPr>
          <w:rFonts w:ascii="方正仿宋_GBK" w:hAnsi="宋体" w:eastAsia="方正仿宋_GBK" w:cs="Times New Roman"/>
          <w:color w:val="000000" w:themeColor="text1"/>
          <w:sz w:val="28"/>
          <w:szCs w:val="20"/>
        </w:rPr>
      </w:pPr>
      <w:r>
        <w:rPr>
          <w:rFonts w:hint="eastAsia" w:ascii="方正仿宋_GBK" w:hAnsi="宋体" w:eastAsia="方正仿宋_GBK" w:cs="Times New Roman"/>
          <w:color w:val="000000" w:themeColor="text1"/>
          <w:sz w:val="28"/>
          <w:szCs w:val="20"/>
        </w:rPr>
        <w:t>投标文件递交地点：重庆市中医骨科医院</w:t>
      </w:r>
      <w:r>
        <w:rPr>
          <w:rFonts w:hint="eastAsia" w:ascii="方正仿宋_GBK" w:hAnsi="宋体" w:eastAsia="方正仿宋_GBK" w:cs="Times New Roman"/>
          <w:color w:val="000000" w:themeColor="text1"/>
          <w:sz w:val="28"/>
          <w:szCs w:val="28"/>
        </w:rPr>
        <w:t>后勤保障科</w:t>
      </w:r>
    </w:p>
    <w:p>
      <w:pPr>
        <w:snapToGrid w:val="0"/>
        <w:spacing w:line="560" w:lineRule="exact"/>
        <w:ind w:firstLine="573"/>
        <w:rPr>
          <w:rFonts w:ascii="方正仿宋_GBK" w:hAnsi="宋体" w:eastAsia="方正仿宋_GBK" w:cs="Times New Roman"/>
          <w:color w:val="000000" w:themeColor="text1"/>
          <w:sz w:val="28"/>
          <w:szCs w:val="28"/>
        </w:rPr>
      </w:pPr>
      <w:r>
        <w:rPr>
          <w:rFonts w:hint="eastAsia" w:ascii="方正仿宋_GBK" w:hAnsi="宋体" w:eastAsia="方正仿宋_GBK" w:cs="Times New Roman"/>
          <w:color w:val="000000" w:themeColor="text1"/>
          <w:sz w:val="28"/>
          <w:szCs w:val="20"/>
        </w:rPr>
        <w:t>投标文件递交时间：</w:t>
      </w:r>
      <w:r>
        <w:rPr>
          <w:rFonts w:hint="eastAsia" w:ascii="方正仿宋_GBK" w:hAnsi="宋体" w:eastAsia="方正仿宋_GBK" w:cs="Times New Roman"/>
          <w:color w:val="FF0000"/>
          <w:sz w:val="28"/>
          <w:szCs w:val="28"/>
        </w:rPr>
        <w:t>202</w:t>
      </w:r>
      <w:r>
        <w:rPr>
          <w:rFonts w:ascii="方正仿宋_GBK" w:hAnsi="宋体" w:eastAsia="方正仿宋_GBK" w:cs="Times New Roman"/>
          <w:color w:val="FF0000"/>
          <w:sz w:val="28"/>
          <w:szCs w:val="28"/>
        </w:rPr>
        <w:t>3</w:t>
      </w:r>
      <w:r>
        <w:rPr>
          <w:rFonts w:hint="eastAsia" w:ascii="方正仿宋_GBK" w:hAnsi="宋体" w:eastAsia="方正仿宋_GBK" w:cs="Times New Roman"/>
          <w:color w:val="FF0000"/>
          <w:sz w:val="28"/>
          <w:szCs w:val="28"/>
        </w:rPr>
        <w:t>年</w:t>
      </w:r>
      <w:r>
        <w:rPr>
          <w:rFonts w:hint="eastAsia" w:ascii="方正仿宋_GBK" w:hAnsi="宋体" w:eastAsia="方正仿宋_GBK" w:cs="Times New Roman"/>
          <w:color w:val="FF0000"/>
          <w:sz w:val="28"/>
          <w:szCs w:val="28"/>
          <w:lang w:val="en-US" w:eastAsia="zh-CN"/>
        </w:rPr>
        <w:t>4</w:t>
      </w:r>
      <w:r>
        <w:rPr>
          <w:rFonts w:hint="eastAsia" w:ascii="方正仿宋_GBK" w:hAnsi="宋体" w:eastAsia="方正仿宋_GBK" w:cs="Times New Roman"/>
          <w:color w:val="FF0000"/>
          <w:sz w:val="28"/>
          <w:szCs w:val="28"/>
        </w:rPr>
        <w:t>月</w:t>
      </w:r>
      <w:r>
        <w:rPr>
          <w:rFonts w:hint="eastAsia" w:ascii="方正仿宋_GBK" w:hAnsi="宋体" w:eastAsia="方正仿宋_GBK" w:cs="Times New Roman"/>
          <w:color w:val="FF0000"/>
          <w:sz w:val="28"/>
          <w:szCs w:val="28"/>
          <w:lang w:val="en-US" w:eastAsia="zh-CN"/>
        </w:rPr>
        <w:t>12</w:t>
      </w:r>
      <w:r>
        <w:rPr>
          <w:rFonts w:hint="eastAsia" w:ascii="方正仿宋_GBK" w:hAnsi="宋体" w:eastAsia="方正仿宋_GBK" w:cs="Times New Roman"/>
          <w:color w:val="FF0000"/>
          <w:sz w:val="28"/>
          <w:szCs w:val="28"/>
        </w:rPr>
        <w:t>日</w:t>
      </w:r>
      <w:r>
        <w:rPr>
          <w:rFonts w:hint="eastAsia" w:ascii="方正仿宋_GBK" w:hAnsi="宋体" w:eastAsia="方正仿宋_GBK" w:cs="Times New Roman"/>
          <w:color w:val="000000" w:themeColor="text1"/>
          <w:sz w:val="28"/>
          <w:szCs w:val="28"/>
        </w:rPr>
        <w:t>1</w:t>
      </w:r>
      <w:r>
        <w:rPr>
          <w:rFonts w:ascii="方正仿宋_GBK" w:hAnsi="宋体" w:eastAsia="方正仿宋_GBK" w:cs="Times New Roman"/>
          <w:color w:val="000000" w:themeColor="text1"/>
          <w:sz w:val="28"/>
          <w:szCs w:val="28"/>
        </w:rPr>
        <w:t>1</w:t>
      </w:r>
      <w:r>
        <w:rPr>
          <w:rFonts w:hint="eastAsia" w:ascii="方正仿宋_GBK" w:hAnsi="宋体" w:eastAsia="方正仿宋_GBK" w:cs="Times New Roman"/>
          <w:color w:val="000000" w:themeColor="text1"/>
          <w:sz w:val="28"/>
          <w:szCs w:val="28"/>
        </w:rPr>
        <w:t>:</w:t>
      </w:r>
      <w:r>
        <w:rPr>
          <w:rFonts w:ascii="方正仿宋_GBK" w:hAnsi="宋体" w:eastAsia="方正仿宋_GBK" w:cs="Times New Roman"/>
          <w:color w:val="000000" w:themeColor="text1"/>
          <w:sz w:val="28"/>
          <w:szCs w:val="28"/>
        </w:rPr>
        <w:t>0</w:t>
      </w:r>
      <w:r>
        <w:rPr>
          <w:rFonts w:hint="eastAsia" w:ascii="方正仿宋_GBK" w:hAnsi="宋体" w:eastAsia="方正仿宋_GBK" w:cs="Times New Roman"/>
          <w:color w:val="000000" w:themeColor="text1"/>
          <w:sz w:val="28"/>
          <w:szCs w:val="28"/>
        </w:rPr>
        <w:t>0前</w:t>
      </w:r>
    </w:p>
    <w:p>
      <w:pPr>
        <w:snapToGrid w:val="0"/>
        <w:spacing w:line="560" w:lineRule="exact"/>
        <w:ind w:firstLine="562" w:firstLineChars="200"/>
        <w:rPr>
          <w:rFonts w:ascii="方正仿宋_GBK" w:hAnsi="宋体" w:eastAsia="方正仿宋_GBK" w:cs="Times New Roman"/>
          <w:b/>
          <w:color w:val="000000"/>
          <w:sz w:val="28"/>
          <w:szCs w:val="20"/>
        </w:rPr>
      </w:pPr>
      <w:r>
        <w:rPr>
          <w:rFonts w:hint="eastAsia" w:ascii="方正仿宋_GBK" w:hAnsi="宋体" w:eastAsia="方正仿宋_GBK" w:cs="Times New Roman"/>
          <w:b/>
          <w:color w:val="000000"/>
          <w:sz w:val="28"/>
          <w:szCs w:val="20"/>
        </w:rPr>
        <w:t>六、报价原则</w:t>
      </w:r>
    </w:p>
    <w:p>
      <w:pPr>
        <w:spacing w:line="560" w:lineRule="exact"/>
        <w:ind w:firstLine="560" w:firstLineChars="200"/>
        <w:outlineLvl w:val="0"/>
        <w:rPr>
          <w:rFonts w:ascii="方正仿宋_GBK" w:hAnsi="宋体" w:eastAsia="方正仿宋_GBK" w:cs="Times New Roman"/>
          <w:color w:val="000000"/>
          <w:sz w:val="28"/>
          <w:szCs w:val="20"/>
        </w:rPr>
      </w:pPr>
      <w:r>
        <w:rPr>
          <w:rFonts w:hint="eastAsia" w:ascii="方正仿宋_GBK" w:hAnsi="宋体" w:eastAsia="方正仿宋_GBK" w:cs="Times New Roman"/>
          <w:sz w:val="28"/>
          <w:szCs w:val="20"/>
        </w:rPr>
        <w:t>本次报价为</w:t>
      </w:r>
      <w:r>
        <w:rPr>
          <w:rFonts w:ascii="方正仿宋_GBK" w:hAnsi="宋体" w:eastAsia="方正仿宋_GBK" w:cs="Times New Roman"/>
          <w:sz w:val="28"/>
          <w:szCs w:val="20"/>
        </w:rPr>
        <w:t>2</w:t>
      </w:r>
      <w:r>
        <w:rPr>
          <w:rFonts w:hint="eastAsia" w:ascii="方正仿宋_GBK" w:hAnsi="宋体" w:eastAsia="方正仿宋_GBK" w:cs="Times New Roman"/>
          <w:sz w:val="28"/>
          <w:szCs w:val="20"/>
        </w:rPr>
        <w:t>台</w:t>
      </w:r>
      <w:r>
        <w:rPr>
          <w:rFonts w:hint="eastAsia" w:ascii="方正仿宋_GBK" w:hAnsi="宋体" w:eastAsia="方正仿宋_GBK" w:cs="Times New Roman"/>
          <w:sz w:val="28"/>
          <w:szCs w:val="28"/>
        </w:rPr>
        <w:t>污水在线监测系统</w:t>
      </w:r>
      <w:r>
        <w:rPr>
          <w:rFonts w:hint="eastAsia" w:ascii="方正仿宋_GBK" w:hAnsi="宋体" w:eastAsia="方正仿宋_GBK" w:cs="Times New Roman"/>
          <w:sz w:val="28"/>
          <w:szCs w:val="20"/>
        </w:rPr>
        <w:t>的一年维保费用，报价不得超过最高限价。</w:t>
      </w:r>
    </w:p>
    <w:p>
      <w:pPr>
        <w:snapToGrid w:val="0"/>
        <w:spacing w:line="560" w:lineRule="exact"/>
        <w:ind w:firstLine="562" w:firstLineChars="200"/>
        <w:rPr>
          <w:rFonts w:ascii="方正仿宋_GBK" w:hAnsi="宋体" w:eastAsia="方正仿宋_GBK" w:cs="Times New Roman"/>
          <w:b/>
          <w:color w:val="000000"/>
          <w:sz w:val="28"/>
          <w:szCs w:val="20"/>
        </w:rPr>
      </w:pPr>
      <w:r>
        <w:rPr>
          <w:rFonts w:hint="eastAsia" w:ascii="方正仿宋_GBK" w:hAnsi="宋体" w:eastAsia="方正仿宋_GBK" w:cs="Times New Roman"/>
          <w:b/>
          <w:color w:val="000000"/>
          <w:sz w:val="28"/>
          <w:szCs w:val="20"/>
        </w:rPr>
        <w:t>七、成交原则</w:t>
      </w:r>
    </w:p>
    <w:p>
      <w:pPr>
        <w:snapToGrid w:val="0"/>
        <w:spacing w:line="560" w:lineRule="exact"/>
        <w:ind w:firstLine="560" w:firstLineChars="200"/>
        <w:rPr>
          <w:rFonts w:ascii="方正仿宋_GBK" w:hAnsi="宋体" w:eastAsia="方正仿宋_GBK" w:cs="仿宋_GB2312"/>
          <w:bCs/>
          <w:color w:val="000000" w:themeColor="text1"/>
          <w:sz w:val="28"/>
          <w:szCs w:val="28"/>
        </w:rPr>
      </w:pPr>
      <w:r>
        <w:rPr>
          <w:rFonts w:hint="eastAsia" w:ascii="方正仿宋_GBK" w:hAnsi="宋体" w:eastAsia="方正仿宋_GBK" w:cs="Times New Roman"/>
          <w:color w:val="000000" w:themeColor="text1"/>
          <w:sz w:val="28"/>
          <w:szCs w:val="20"/>
        </w:rPr>
        <w:t>1、</w:t>
      </w:r>
      <w:r>
        <w:rPr>
          <w:rFonts w:hint="eastAsia" w:ascii="方正仿宋_GBK" w:hAnsi="宋体" w:eastAsia="方正仿宋_GBK" w:cs="仿宋_GB2312"/>
          <w:bCs/>
          <w:color w:val="000000" w:themeColor="text1"/>
          <w:sz w:val="28"/>
          <w:szCs w:val="28"/>
        </w:rPr>
        <w:t xml:space="preserve">评标方法：本项目评审采用综合评估法进行评审， </w:t>
      </w:r>
    </w:p>
    <w:p>
      <w:pPr>
        <w:snapToGrid w:val="0"/>
        <w:spacing w:line="560" w:lineRule="exact"/>
        <w:ind w:firstLine="560" w:firstLineChars="200"/>
        <w:rPr>
          <w:rFonts w:ascii="方正仿宋_GBK" w:hAnsi="宋体" w:eastAsia="方正仿宋_GBK" w:cs="仿宋_GB2312"/>
          <w:bCs/>
          <w:color w:val="000000" w:themeColor="text1"/>
          <w:sz w:val="28"/>
          <w:szCs w:val="28"/>
        </w:rPr>
      </w:pPr>
      <w:r>
        <w:rPr>
          <w:rFonts w:hint="eastAsia" w:ascii="方正仿宋_GBK" w:hAnsi="宋体" w:eastAsia="方正仿宋_GBK" w:cs="Times New Roman"/>
          <w:color w:val="000000" w:themeColor="text1"/>
          <w:sz w:val="28"/>
          <w:szCs w:val="20"/>
        </w:rPr>
        <w:t>2、</w:t>
      </w:r>
      <w:r>
        <w:rPr>
          <w:rFonts w:hint="eastAsia" w:ascii="方正仿宋_GBK" w:hAnsi="宋体" w:eastAsia="方正仿宋_GBK" w:cs="仿宋_GB2312"/>
          <w:bCs/>
          <w:color w:val="000000" w:themeColor="text1"/>
          <w:sz w:val="28"/>
          <w:szCs w:val="28"/>
        </w:rPr>
        <w:t>分值构成：竞标报价</w:t>
      </w:r>
      <w:r>
        <w:rPr>
          <w:rFonts w:hint="eastAsia" w:ascii="方正仿宋_GBK" w:hAnsi="宋体" w:eastAsia="方正仿宋_GBK" w:cs="仿宋_GB2312"/>
          <w:bCs/>
          <w:color w:val="000000" w:themeColor="text1"/>
          <w:sz w:val="28"/>
          <w:szCs w:val="28"/>
          <w:lang w:val="en-US" w:eastAsia="zh-CN"/>
        </w:rPr>
        <w:t>6</w:t>
      </w:r>
      <w:r>
        <w:rPr>
          <w:rFonts w:hint="eastAsia" w:ascii="方正仿宋_GBK" w:hAnsi="宋体" w:eastAsia="方正仿宋_GBK" w:cs="仿宋_GB2312"/>
          <w:bCs/>
          <w:color w:val="000000" w:themeColor="text1"/>
          <w:sz w:val="28"/>
          <w:szCs w:val="28"/>
        </w:rPr>
        <w:t>0分；技术部分</w:t>
      </w:r>
      <w:r>
        <w:rPr>
          <w:rFonts w:hint="eastAsia" w:ascii="方正仿宋_GBK" w:hAnsi="宋体" w:eastAsia="方正仿宋_GBK" w:cs="仿宋_GB2312"/>
          <w:bCs/>
          <w:color w:val="000000" w:themeColor="text1"/>
          <w:sz w:val="28"/>
          <w:szCs w:val="28"/>
          <w:lang w:val="en-US" w:eastAsia="zh-CN"/>
        </w:rPr>
        <w:t>4</w:t>
      </w:r>
      <w:r>
        <w:rPr>
          <w:rFonts w:hint="eastAsia" w:ascii="方正仿宋_GBK" w:hAnsi="宋体" w:eastAsia="方正仿宋_GBK" w:cs="仿宋_GB2312"/>
          <w:bCs/>
          <w:color w:val="000000" w:themeColor="text1"/>
          <w:sz w:val="28"/>
          <w:szCs w:val="28"/>
        </w:rPr>
        <w:t>0分。</w:t>
      </w:r>
    </w:p>
    <w:p>
      <w:pPr>
        <w:snapToGrid w:val="0"/>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color w:val="000000" w:themeColor="text1"/>
          <w:sz w:val="28"/>
          <w:szCs w:val="28"/>
        </w:rPr>
        <w:t>3、</w:t>
      </w:r>
      <w:r>
        <w:rPr>
          <w:rFonts w:hint="eastAsia" w:ascii="方正仿宋_GBK" w:hAnsi="宋体" w:eastAsia="方正仿宋_GBK" w:cs="仿宋_GB2312"/>
          <w:bCs/>
          <w:sz w:val="28"/>
          <w:szCs w:val="28"/>
        </w:rPr>
        <w:t>比选报价评标基准价计算方法：所有通过初步评审合格的竞标人的竞标报价中去掉六分之一（不能整除的按小数前整数取整，不足六家报价则不去掉）的最低价和相同家数的最高价后的算术平均值即为竞标总报价的评标基准价。</w:t>
      </w:r>
    </w:p>
    <w:p>
      <w:pPr>
        <w:snapToGrid w:val="0"/>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以上计算取小数点后两位，第三位四舍五入。</w:t>
      </w:r>
    </w:p>
    <w:p>
      <w:pPr>
        <w:snapToGrid w:val="0"/>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4、竞标总报价（</w:t>
      </w:r>
      <w:r>
        <w:rPr>
          <w:rFonts w:hint="eastAsia" w:ascii="方正仿宋_GBK" w:hAnsi="宋体" w:eastAsia="方正仿宋_GBK" w:cs="仿宋_GB2312"/>
          <w:bCs/>
          <w:sz w:val="28"/>
          <w:szCs w:val="28"/>
          <w:lang w:val="en-US" w:eastAsia="zh-CN"/>
        </w:rPr>
        <w:t>6</w:t>
      </w:r>
      <w:r>
        <w:rPr>
          <w:rFonts w:hint="eastAsia" w:ascii="方正仿宋_GBK" w:hAnsi="宋体" w:eastAsia="方正仿宋_GBK" w:cs="仿宋_GB2312"/>
          <w:bCs/>
          <w:sz w:val="28"/>
          <w:szCs w:val="28"/>
        </w:rPr>
        <w:t>0分）：所有通过初步评审的竞标总报价先得</w:t>
      </w:r>
      <w:r>
        <w:rPr>
          <w:rFonts w:hint="eastAsia" w:ascii="方正仿宋_GBK" w:hAnsi="宋体" w:eastAsia="方正仿宋_GBK" w:cs="仿宋_GB2312"/>
          <w:bCs/>
          <w:sz w:val="28"/>
          <w:szCs w:val="28"/>
          <w:lang w:val="en-US" w:eastAsia="zh-CN"/>
        </w:rPr>
        <w:t>6</w:t>
      </w:r>
      <w:r>
        <w:rPr>
          <w:rFonts w:hint="eastAsia" w:ascii="方正仿宋_GBK" w:hAnsi="宋体" w:eastAsia="方正仿宋_GBK" w:cs="仿宋_GB2312"/>
          <w:bCs/>
          <w:sz w:val="28"/>
          <w:szCs w:val="28"/>
        </w:rPr>
        <w:t>0分。在此基础上，各有效竞标报价分别与评标基准价相比较，每高于评标基准价1%扣</w:t>
      </w:r>
      <w:r>
        <w:rPr>
          <w:rFonts w:ascii="方正仿宋_GBK" w:hAnsi="宋体" w:eastAsia="方正仿宋_GBK" w:cs="仿宋_GB2312"/>
          <w:bCs/>
          <w:color w:val="FF0000"/>
          <w:sz w:val="28"/>
          <w:szCs w:val="28"/>
        </w:rPr>
        <w:t>1</w:t>
      </w:r>
      <w:r>
        <w:rPr>
          <w:rFonts w:hint="eastAsia" w:ascii="方正仿宋_GBK" w:hAnsi="宋体" w:eastAsia="方正仿宋_GBK" w:cs="仿宋_GB2312"/>
          <w:bCs/>
          <w:color w:val="FF0000"/>
          <w:sz w:val="28"/>
          <w:szCs w:val="28"/>
        </w:rPr>
        <w:t>分</w:t>
      </w:r>
      <w:r>
        <w:rPr>
          <w:rFonts w:hint="eastAsia" w:ascii="方正仿宋_GBK" w:hAnsi="宋体" w:eastAsia="方正仿宋_GBK" w:cs="仿宋_GB2312"/>
          <w:bCs/>
          <w:sz w:val="28"/>
          <w:szCs w:val="28"/>
        </w:rPr>
        <w:t>，每低于评标基准价1%扣</w:t>
      </w:r>
      <w:r>
        <w:rPr>
          <w:rFonts w:hint="eastAsia" w:ascii="方正仿宋_GBK" w:hAnsi="宋体" w:eastAsia="方正仿宋_GBK" w:cs="仿宋_GB2312"/>
          <w:bCs/>
          <w:color w:val="FF0000"/>
          <w:sz w:val="28"/>
          <w:szCs w:val="28"/>
        </w:rPr>
        <w:t>0.</w:t>
      </w:r>
      <w:r>
        <w:rPr>
          <w:rFonts w:ascii="方正仿宋_GBK" w:hAnsi="宋体" w:eastAsia="方正仿宋_GBK" w:cs="仿宋_GB2312"/>
          <w:bCs/>
          <w:color w:val="FF0000"/>
          <w:sz w:val="28"/>
          <w:szCs w:val="28"/>
        </w:rPr>
        <w:t>5</w:t>
      </w:r>
      <w:r>
        <w:rPr>
          <w:rFonts w:hint="eastAsia" w:ascii="方正仿宋_GBK" w:hAnsi="宋体" w:eastAsia="方正仿宋_GBK" w:cs="仿宋_GB2312"/>
          <w:bCs/>
          <w:color w:val="FF0000"/>
          <w:sz w:val="28"/>
          <w:szCs w:val="28"/>
        </w:rPr>
        <w:t>分</w:t>
      </w:r>
      <w:r>
        <w:rPr>
          <w:rFonts w:hint="eastAsia" w:ascii="方正仿宋_GBK" w:hAnsi="宋体" w:eastAsia="方正仿宋_GBK" w:cs="仿宋_GB2312"/>
          <w:bCs/>
          <w:sz w:val="28"/>
          <w:szCs w:val="28"/>
        </w:rPr>
        <w:t>，扣完为止。</w:t>
      </w:r>
    </w:p>
    <w:p>
      <w:pPr>
        <w:snapToGrid w:val="0"/>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以上计算按插入法计算得分，取小数点后两位，第三位四舍五入。</w:t>
      </w:r>
    </w:p>
    <w:p>
      <w:pPr>
        <w:snapToGrid w:val="0"/>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5、 技术部分</w:t>
      </w:r>
      <w:r>
        <w:rPr>
          <w:rFonts w:hint="eastAsia" w:ascii="方正仿宋_GBK" w:hAnsi="宋体" w:eastAsia="方正仿宋_GBK" w:cs="仿宋_GB2312"/>
          <w:bCs/>
          <w:sz w:val="28"/>
          <w:szCs w:val="28"/>
          <w:lang w:val="en-US" w:eastAsia="zh-CN"/>
        </w:rPr>
        <w:t>4</w:t>
      </w:r>
      <w:r>
        <w:rPr>
          <w:rFonts w:hint="eastAsia" w:ascii="方正仿宋_GBK" w:hAnsi="宋体" w:eastAsia="方正仿宋_GBK" w:cs="仿宋_GB2312"/>
          <w:bCs/>
          <w:sz w:val="28"/>
          <w:szCs w:val="28"/>
        </w:rPr>
        <w:t>0分：</w:t>
      </w:r>
    </w:p>
    <w:tbl>
      <w:tblPr>
        <w:tblStyle w:val="10"/>
        <w:tblpPr w:leftFromText="180" w:rightFromText="180" w:vertAnchor="text" w:horzAnchor="page" w:tblpX="1315" w:tblpY="126"/>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tcBorders>
              <w:left w:val="single" w:color="auto" w:sz="4" w:space="0"/>
            </w:tcBorders>
            <w:vAlign w:val="center"/>
          </w:tcPr>
          <w:p>
            <w:pPr>
              <w:snapToGrid w:val="0"/>
              <w:spacing w:line="560" w:lineRule="exact"/>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序号</w:t>
            </w:r>
          </w:p>
        </w:tc>
        <w:tc>
          <w:tcPr>
            <w:tcW w:w="2126" w:type="dxa"/>
            <w:tcBorders>
              <w:left w:val="single" w:color="auto" w:sz="4" w:space="0"/>
            </w:tcBorders>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评审因素</w:t>
            </w:r>
          </w:p>
        </w:tc>
        <w:tc>
          <w:tcPr>
            <w:tcW w:w="6237" w:type="dxa"/>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1</w:t>
            </w:r>
          </w:p>
        </w:tc>
        <w:tc>
          <w:tcPr>
            <w:tcW w:w="2126" w:type="dxa"/>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维保方案及措施</w:t>
            </w:r>
          </w:p>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w:t>
            </w:r>
            <w:r>
              <w:rPr>
                <w:rFonts w:hint="eastAsia" w:ascii="方正仿宋_GBK" w:hAnsi="宋体" w:eastAsia="方正仿宋_GBK" w:cs="仿宋_GB2312"/>
                <w:bCs/>
                <w:color w:val="000000" w:themeColor="text1"/>
                <w:sz w:val="28"/>
                <w:szCs w:val="28"/>
                <w:lang w:val="en-US" w:eastAsia="zh-CN"/>
              </w:rPr>
              <w:t>20</w:t>
            </w:r>
            <w:r>
              <w:rPr>
                <w:rFonts w:hint="eastAsia" w:ascii="方正仿宋_GBK" w:hAnsi="宋体" w:eastAsia="方正仿宋_GBK" w:cs="仿宋_GB2312"/>
                <w:bCs/>
                <w:color w:val="000000" w:themeColor="text1"/>
                <w:sz w:val="28"/>
                <w:szCs w:val="28"/>
              </w:rPr>
              <w:t>分）</w:t>
            </w:r>
          </w:p>
        </w:tc>
        <w:tc>
          <w:tcPr>
            <w:tcW w:w="6237" w:type="dxa"/>
            <w:vAlign w:val="center"/>
          </w:tcPr>
          <w:p>
            <w:pPr>
              <w:adjustRightInd w:val="0"/>
              <w:snapToGrid w:val="0"/>
              <w:spacing w:line="520" w:lineRule="exact"/>
              <w:ind w:firstLine="560" w:firstLineChars="200"/>
              <w:rPr>
                <w:rFonts w:ascii="仿宋" w:hAnsi="仿宋" w:eastAsia="仿宋" w:cs="仿宋"/>
                <w:szCs w:val="21"/>
              </w:rPr>
            </w:pPr>
            <w:r>
              <w:rPr>
                <w:rFonts w:hint="eastAsia" w:ascii="方正仿宋_GBK" w:hAnsi="宋体" w:eastAsia="方正仿宋_GBK" w:cs="仿宋_GB2312"/>
                <w:bCs/>
                <w:sz w:val="28"/>
                <w:szCs w:val="28"/>
              </w:rPr>
              <w:t>1、日常维保质量管控计划科学合理、流程清晰、保证措施切实可行，针对性强。</w:t>
            </w:r>
          </w:p>
          <w:p>
            <w:pPr>
              <w:adjustRightInd w:val="0"/>
              <w:snapToGrid w:val="0"/>
              <w:spacing w:line="520" w:lineRule="exact"/>
              <w:ind w:firstLine="560" w:firstLineChars="200"/>
              <w:rPr>
                <w:rFonts w:ascii="方正仿宋_GBK" w:hAnsi="宋体" w:eastAsia="方正仿宋_GBK" w:cs="宋体"/>
                <w:color w:val="FF0000"/>
                <w:kern w:val="0"/>
                <w:sz w:val="28"/>
                <w:szCs w:val="28"/>
              </w:rPr>
            </w:pPr>
            <w:r>
              <w:rPr>
                <w:rFonts w:hint="eastAsia" w:ascii="方正仿宋_GBK" w:hAnsi="宋体" w:eastAsia="方正仿宋_GBK" w:cs="仿宋_GB2312"/>
                <w:bCs/>
                <w:sz w:val="28"/>
                <w:szCs w:val="28"/>
              </w:rPr>
              <w:t>优（5分）良（3分）一般（1分）差（0分）</w:t>
            </w:r>
          </w:p>
          <w:p>
            <w:pPr>
              <w:adjustRightInd w:val="0"/>
              <w:snapToGrid w:val="0"/>
              <w:spacing w:line="52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2、故障处理方案齐全完整、科学合理、流程清晰、保证措施切实可行，针对性强。</w:t>
            </w:r>
          </w:p>
          <w:p>
            <w:pPr>
              <w:adjustRightInd w:val="0"/>
              <w:snapToGrid w:val="0"/>
              <w:spacing w:line="52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优（5分）良（3分）一般（1分）差（0分）</w:t>
            </w:r>
          </w:p>
          <w:p>
            <w:pPr>
              <w:adjustRightInd w:val="0"/>
              <w:snapToGrid w:val="0"/>
              <w:spacing w:line="52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3、售后服务方案及质量保修方案，针对性强、能充分满足本项目现场实际。</w:t>
            </w:r>
          </w:p>
          <w:p>
            <w:pPr>
              <w:adjustRightInd w:val="0"/>
              <w:snapToGrid w:val="0"/>
              <w:spacing w:line="520" w:lineRule="exact"/>
              <w:ind w:firstLine="560" w:firstLineChars="200"/>
              <w:rPr>
                <w:rFonts w:hint="eastAsia" w:ascii="方正仿宋_GBK" w:hAnsi="宋体" w:eastAsia="方正仿宋_GBK" w:cs="仿宋_GB2312"/>
                <w:bCs/>
                <w:sz w:val="28"/>
                <w:szCs w:val="28"/>
              </w:rPr>
            </w:pPr>
            <w:r>
              <w:rPr>
                <w:rFonts w:hint="eastAsia" w:ascii="方正仿宋_GBK" w:hAnsi="宋体" w:eastAsia="方正仿宋_GBK" w:cs="仿宋_GB2312"/>
                <w:bCs/>
                <w:sz w:val="28"/>
                <w:szCs w:val="28"/>
              </w:rPr>
              <w:t>优（5分）良（3分）一般（1分）差（0分）</w:t>
            </w:r>
          </w:p>
          <w:p>
            <w:pPr>
              <w:numPr>
                <w:ilvl w:val="0"/>
                <w:numId w:val="1"/>
              </w:numPr>
              <w:tabs>
                <w:tab w:val="left" w:pos="2300"/>
              </w:tabs>
              <w:autoSpaceDE w:val="0"/>
              <w:autoSpaceDN w:val="0"/>
              <w:adjustRightInd w:val="0"/>
              <w:spacing w:line="440" w:lineRule="exact"/>
              <w:ind w:firstLine="560" w:firstLineChars="200"/>
              <w:jc w:val="both"/>
              <w:rPr>
                <w:rFonts w:hint="eastAsia" w:ascii="方正仿宋_GBK" w:hAnsi="宋体" w:eastAsia="方正仿宋_GBK" w:cs="仿宋_GB2312"/>
                <w:bCs/>
                <w:sz w:val="28"/>
                <w:szCs w:val="28"/>
              </w:rPr>
            </w:pPr>
            <w:r>
              <w:rPr>
                <w:rFonts w:hint="eastAsia" w:ascii="方正仿宋_GBK" w:hAnsi="宋体" w:eastAsia="方正仿宋_GBK" w:cs="仿宋_GB2312"/>
                <w:bCs/>
                <w:sz w:val="28"/>
                <w:szCs w:val="28"/>
              </w:rPr>
              <w:t>在线监测运维服务应急预案、制定意外事故应急机制和紧急处理预案；应急预案和应急机制健全、切合实际、管理有效；</w:t>
            </w:r>
          </w:p>
          <w:p>
            <w:pPr>
              <w:adjustRightInd w:val="0"/>
              <w:snapToGrid w:val="0"/>
              <w:spacing w:line="520" w:lineRule="exact"/>
              <w:ind w:firstLine="560" w:firstLineChars="200"/>
              <w:rPr>
                <w:rFonts w:hint="eastAsia" w:ascii="方正仿宋_GBK" w:hAnsi="宋体" w:eastAsia="方正仿宋_GBK" w:cs="仿宋_GB2312"/>
                <w:bCs/>
                <w:sz w:val="28"/>
                <w:szCs w:val="28"/>
              </w:rPr>
            </w:pPr>
            <w:r>
              <w:rPr>
                <w:rFonts w:hint="eastAsia" w:ascii="方正仿宋_GBK" w:hAnsi="宋体" w:eastAsia="方正仿宋_GBK" w:cs="仿宋_GB2312"/>
                <w:bCs/>
                <w:sz w:val="28"/>
                <w:szCs w:val="28"/>
              </w:rPr>
              <w:t>优（5分）良（3分）一般（1分）差（0分）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2</w:t>
            </w:r>
          </w:p>
        </w:tc>
        <w:tc>
          <w:tcPr>
            <w:tcW w:w="2126" w:type="dxa"/>
            <w:vAlign w:val="center"/>
          </w:tcPr>
          <w:p>
            <w:pPr>
              <w:snapToGrid w:val="0"/>
              <w:spacing w:line="560" w:lineRule="exact"/>
              <w:jc w:val="center"/>
              <w:rPr>
                <w:rFonts w:ascii="方正仿宋_GBK" w:hAnsi="宋体" w:eastAsia="方正仿宋_GBK" w:cs="仿宋_GB2312"/>
                <w:bCs/>
                <w:color w:val="000000" w:themeColor="text1"/>
                <w:sz w:val="28"/>
                <w:szCs w:val="28"/>
              </w:rPr>
            </w:pPr>
          </w:p>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（1</w:t>
            </w:r>
            <w:r>
              <w:rPr>
                <w:rFonts w:hint="eastAsia" w:ascii="方正仿宋_GBK" w:hAnsi="宋体" w:eastAsia="方正仿宋_GBK" w:cs="仿宋_GB2312"/>
                <w:bCs/>
                <w:color w:val="000000" w:themeColor="text1"/>
                <w:sz w:val="28"/>
                <w:szCs w:val="28"/>
                <w:lang w:val="en-US" w:eastAsia="zh-CN"/>
              </w:rPr>
              <w:t>5</w:t>
            </w:r>
            <w:r>
              <w:rPr>
                <w:rFonts w:hint="eastAsia" w:ascii="方正仿宋_GBK" w:hAnsi="宋体" w:eastAsia="方正仿宋_GBK" w:cs="仿宋_GB2312"/>
                <w:bCs/>
                <w:color w:val="000000" w:themeColor="text1"/>
                <w:sz w:val="28"/>
                <w:szCs w:val="28"/>
              </w:rPr>
              <w:t>分）</w:t>
            </w:r>
          </w:p>
        </w:tc>
        <w:tc>
          <w:tcPr>
            <w:tcW w:w="6237" w:type="dxa"/>
            <w:vAlign w:val="center"/>
          </w:tcPr>
          <w:p>
            <w:pPr>
              <w:adjustRightInd w:val="0"/>
              <w:snapToGrid w:val="0"/>
              <w:spacing w:line="520" w:lineRule="exact"/>
              <w:ind w:firstLine="560" w:firstLineChars="200"/>
              <w:rPr>
                <w:rFonts w:hint="eastAsia" w:ascii="方正仿宋_GBK" w:eastAsia="方正仿宋_GBK"/>
                <w:color w:val="000000" w:themeColor="text1"/>
                <w:sz w:val="28"/>
                <w:szCs w:val="28"/>
                <w:lang w:eastAsia="zh-CN"/>
              </w:rPr>
            </w:pPr>
            <w:r>
              <w:rPr>
                <w:rFonts w:hint="eastAsia" w:ascii="方正仿宋_GBK" w:eastAsia="方正仿宋_GBK"/>
                <w:color w:val="000000" w:themeColor="text1"/>
                <w:sz w:val="28"/>
                <w:szCs w:val="28"/>
              </w:rPr>
              <w:t>1、具有重庆市污染治理设施运行服务能力评价证书，自动连续监测（水）一级资质得</w:t>
            </w:r>
            <w:r>
              <w:rPr>
                <w:rFonts w:hint="eastAsia" w:ascii="方正仿宋_GBK" w:eastAsia="方正仿宋_GBK"/>
                <w:color w:val="000000" w:themeColor="text1"/>
                <w:sz w:val="28"/>
                <w:szCs w:val="28"/>
                <w:lang w:val="en-US" w:eastAsia="zh-CN"/>
              </w:rPr>
              <w:t>6</w:t>
            </w:r>
            <w:r>
              <w:rPr>
                <w:rFonts w:hint="eastAsia" w:ascii="方正仿宋_GBK" w:eastAsia="方正仿宋_GBK"/>
                <w:color w:val="000000" w:themeColor="text1"/>
                <w:sz w:val="28"/>
                <w:szCs w:val="28"/>
              </w:rPr>
              <w:t>分，自动连续监测（水）二级资质得</w:t>
            </w:r>
            <w:r>
              <w:rPr>
                <w:rFonts w:hint="eastAsia" w:ascii="方正仿宋_GBK" w:eastAsia="方正仿宋_GBK"/>
                <w:color w:val="000000" w:themeColor="text1"/>
                <w:sz w:val="28"/>
                <w:szCs w:val="28"/>
                <w:lang w:val="en-US" w:eastAsia="zh-CN"/>
              </w:rPr>
              <w:t>3</w:t>
            </w:r>
            <w:r>
              <w:rPr>
                <w:rFonts w:hint="eastAsia" w:ascii="方正仿宋_GBK" w:eastAsia="方正仿宋_GBK"/>
                <w:color w:val="000000" w:themeColor="text1"/>
                <w:sz w:val="28"/>
                <w:szCs w:val="28"/>
              </w:rPr>
              <w:t>分</w:t>
            </w:r>
            <w:r>
              <w:rPr>
                <w:rFonts w:hint="eastAsia" w:ascii="方正仿宋_GBK" w:eastAsia="方正仿宋_GBK"/>
                <w:color w:val="000000" w:themeColor="text1"/>
                <w:sz w:val="28"/>
                <w:szCs w:val="28"/>
                <w:lang w:eastAsia="zh-CN"/>
              </w:rPr>
              <w:t>，</w:t>
            </w:r>
            <w:r>
              <w:rPr>
                <w:rFonts w:hint="eastAsia" w:ascii="方正仿宋_GBK" w:eastAsia="方正仿宋_GBK"/>
                <w:color w:val="000000" w:themeColor="text1"/>
                <w:sz w:val="28"/>
                <w:szCs w:val="28"/>
              </w:rPr>
              <w:t>自动连续监测（水）</w:t>
            </w:r>
            <w:r>
              <w:rPr>
                <w:rFonts w:hint="eastAsia" w:ascii="方正仿宋_GBK" w:eastAsia="方正仿宋_GBK"/>
                <w:color w:val="000000" w:themeColor="text1"/>
                <w:sz w:val="28"/>
                <w:szCs w:val="28"/>
                <w:lang w:val="en-US" w:eastAsia="zh-CN"/>
              </w:rPr>
              <w:t>三</w:t>
            </w:r>
            <w:r>
              <w:rPr>
                <w:rFonts w:hint="eastAsia" w:ascii="方正仿宋_GBK" w:eastAsia="方正仿宋_GBK"/>
                <w:color w:val="000000" w:themeColor="text1"/>
                <w:sz w:val="28"/>
                <w:szCs w:val="28"/>
              </w:rPr>
              <w:t>级资质得</w:t>
            </w:r>
            <w:r>
              <w:rPr>
                <w:rFonts w:hint="eastAsia" w:ascii="方正仿宋_GBK" w:eastAsia="方正仿宋_GBK"/>
                <w:color w:val="000000" w:themeColor="text1"/>
                <w:sz w:val="28"/>
                <w:szCs w:val="28"/>
                <w:lang w:val="en-US" w:eastAsia="zh-CN"/>
              </w:rPr>
              <w:t>1</w:t>
            </w:r>
            <w:r>
              <w:rPr>
                <w:rFonts w:hint="eastAsia" w:ascii="方正仿宋_GBK" w:eastAsia="方正仿宋_GBK"/>
                <w:color w:val="000000" w:themeColor="text1"/>
                <w:sz w:val="28"/>
                <w:szCs w:val="28"/>
              </w:rPr>
              <w:t>分</w:t>
            </w:r>
          </w:p>
          <w:p>
            <w:pPr>
              <w:adjustRightInd w:val="0"/>
              <w:snapToGrid w:val="0"/>
              <w:spacing w:line="520" w:lineRule="exact"/>
              <w:ind w:firstLine="560" w:firstLineChars="200"/>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2、</w:t>
            </w:r>
            <w:r>
              <w:rPr>
                <w:rFonts w:hint="eastAsia" w:ascii="方正仿宋_GBK" w:eastAsia="方正仿宋_GBK"/>
                <w:color w:val="000000" w:themeColor="text1"/>
                <w:sz w:val="28"/>
                <w:szCs w:val="28"/>
                <w:lang w:val="en-US" w:eastAsia="zh-CN"/>
              </w:rPr>
              <w:t>企业管理体系认证证书（认证范围含自动连续监测(水、气)）</w:t>
            </w:r>
            <w:r>
              <w:rPr>
                <w:rFonts w:hint="eastAsia" w:ascii="方正仿宋_GBK" w:eastAsia="方正仿宋_GBK"/>
                <w:color w:val="000000" w:themeColor="text1"/>
                <w:sz w:val="28"/>
                <w:szCs w:val="28"/>
              </w:rPr>
              <w:t>得1分</w:t>
            </w:r>
          </w:p>
          <w:p>
            <w:pPr>
              <w:adjustRightInd w:val="0"/>
              <w:snapToGrid w:val="0"/>
              <w:spacing w:line="520" w:lineRule="exact"/>
              <w:ind w:firstLine="560" w:firstLineChars="200"/>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3、</w:t>
            </w:r>
            <w:r>
              <w:rPr>
                <w:rFonts w:hint="eastAsia" w:ascii="方正仿宋_GBK" w:eastAsia="方正仿宋_GBK"/>
                <w:color w:val="000000" w:themeColor="text1"/>
                <w:sz w:val="28"/>
                <w:szCs w:val="28"/>
                <w:lang w:val="en-US" w:eastAsia="zh-CN"/>
              </w:rPr>
              <w:t>售后服务认证证书（AAAAA级）认证证书（认证范围含自动连续监测(水、气)）</w:t>
            </w:r>
            <w:r>
              <w:rPr>
                <w:rFonts w:hint="eastAsia" w:ascii="方正仿宋_GBK" w:eastAsia="方正仿宋_GBK"/>
                <w:color w:val="000000" w:themeColor="text1"/>
                <w:sz w:val="28"/>
                <w:szCs w:val="28"/>
              </w:rPr>
              <w:t>得1分</w:t>
            </w:r>
          </w:p>
          <w:p>
            <w:pPr>
              <w:adjustRightInd w:val="0"/>
              <w:snapToGrid w:val="0"/>
              <w:spacing w:line="520" w:lineRule="exact"/>
              <w:ind w:firstLine="560" w:firstLineChars="200"/>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4、</w:t>
            </w:r>
            <w:r>
              <w:rPr>
                <w:rFonts w:hint="eastAsia" w:ascii="方正仿宋_GBK" w:eastAsia="方正仿宋_GBK"/>
                <w:color w:val="000000" w:themeColor="text1"/>
                <w:sz w:val="28"/>
                <w:szCs w:val="28"/>
                <w:lang w:val="en-US" w:eastAsia="zh-CN"/>
              </w:rPr>
              <w:t>企业信用等级证书（AAA级）</w:t>
            </w:r>
            <w:r>
              <w:rPr>
                <w:rFonts w:hint="eastAsia" w:ascii="方正仿宋_GBK" w:eastAsia="方正仿宋_GBK"/>
                <w:color w:val="000000" w:themeColor="text1"/>
                <w:sz w:val="28"/>
                <w:szCs w:val="28"/>
              </w:rPr>
              <w:t>得1分</w:t>
            </w:r>
          </w:p>
          <w:p>
            <w:pPr>
              <w:widowControl/>
              <w:snapToGrid w:val="0"/>
              <w:spacing w:line="480" w:lineRule="exact"/>
              <w:ind w:firstLine="560" w:firstLineChars="200"/>
              <w:jc w:val="left"/>
              <w:rPr>
                <w:rFonts w:hint="eastAsia"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5、除特定资格条件提供的</w:t>
            </w:r>
            <w:r>
              <w:rPr>
                <w:rFonts w:hint="eastAsia" w:ascii="方正仿宋_GBK" w:eastAsia="方正仿宋_GBK"/>
                <w:color w:val="000000" w:themeColor="text1"/>
                <w:sz w:val="28"/>
                <w:szCs w:val="28"/>
              </w:rPr>
              <w:t>2名维护人员</w:t>
            </w:r>
            <w:r>
              <w:rPr>
                <w:rFonts w:hint="eastAsia" w:ascii="方正仿宋_GBK" w:hAnsi="宋体" w:eastAsia="方正仿宋_GBK" w:cs="仿宋_GB2312"/>
                <w:bCs/>
                <w:color w:val="000000" w:themeColor="text1"/>
                <w:sz w:val="28"/>
                <w:szCs w:val="28"/>
              </w:rPr>
              <w:t>，每增加1名</w:t>
            </w:r>
            <w:r>
              <w:rPr>
                <w:rFonts w:hint="eastAsia" w:ascii="方正仿宋_GBK" w:eastAsia="方正仿宋_GBK"/>
                <w:color w:val="000000" w:themeColor="text1"/>
                <w:sz w:val="28"/>
                <w:szCs w:val="28"/>
              </w:rPr>
              <w:t>维护人员得</w:t>
            </w:r>
            <w:r>
              <w:rPr>
                <w:rFonts w:hint="eastAsia" w:ascii="方正仿宋_GBK" w:hAnsi="宋体" w:eastAsia="方正仿宋_GBK" w:cs="仿宋_GB2312"/>
                <w:bCs/>
                <w:color w:val="000000" w:themeColor="text1"/>
                <w:sz w:val="28"/>
                <w:szCs w:val="28"/>
              </w:rPr>
              <w:t>1分，最多得2分。（</w:t>
            </w:r>
            <w:r>
              <w:rPr>
                <w:rFonts w:hint="eastAsia" w:ascii="方正仿宋_GBK" w:eastAsia="方正仿宋_GBK"/>
                <w:color w:val="000000" w:themeColor="text1"/>
                <w:sz w:val="28"/>
                <w:szCs w:val="28"/>
              </w:rPr>
              <w:t>维护人员需持有水质《环境污染治理设施运运营培训合格证书》</w:t>
            </w:r>
            <w:r>
              <w:rPr>
                <w:rFonts w:hint="eastAsia" w:ascii="方正仿宋_GBK" w:hAnsi="宋体" w:eastAsia="方正仿宋_GBK" w:cs="仿宋_GB2312"/>
                <w:bCs/>
                <w:color w:val="000000" w:themeColor="text1"/>
                <w:sz w:val="28"/>
                <w:szCs w:val="28"/>
              </w:rPr>
              <w:t>）</w:t>
            </w:r>
          </w:p>
          <w:p>
            <w:pPr>
              <w:widowControl/>
              <w:snapToGrid w:val="0"/>
              <w:spacing w:line="480" w:lineRule="exact"/>
              <w:ind w:firstLine="560" w:firstLineChars="200"/>
              <w:jc w:val="left"/>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lang w:val="en-US" w:eastAsia="zh-CN"/>
              </w:rPr>
              <w:t>6、供货商具有由国家版权局颁发的“环境监测智慧运维管理系统”、“污染源监测数据统计分析平台”计算机软件著作权登记证书的，每有一项得2分，最多得4分。不提供的不得分。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ascii="方正仿宋_GBK" w:hAnsi="宋体" w:eastAsia="方正仿宋_GBK" w:cs="仿宋_GB2312"/>
                <w:bCs/>
                <w:color w:val="000000" w:themeColor="text1"/>
                <w:sz w:val="28"/>
                <w:szCs w:val="28"/>
              </w:rPr>
              <w:t>3</w:t>
            </w:r>
          </w:p>
        </w:tc>
        <w:tc>
          <w:tcPr>
            <w:tcW w:w="2126" w:type="dxa"/>
            <w:vAlign w:val="center"/>
          </w:tcPr>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类似项目业绩</w:t>
            </w:r>
          </w:p>
          <w:p>
            <w:pPr>
              <w:snapToGrid w:val="0"/>
              <w:spacing w:line="560" w:lineRule="exact"/>
              <w:jc w:val="center"/>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w:t>
            </w:r>
            <w:r>
              <w:rPr>
                <w:rFonts w:ascii="方正仿宋_GBK" w:hAnsi="宋体" w:eastAsia="方正仿宋_GBK" w:cs="仿宋_GB2312"/>
                <w:bCs/>
                <w:color w:val="000000" w:themeColor="text1"/>
                <w:sz w:val="28"/>
                <w:szCs w:val="28"/>
              </w:rPr>
              <w:t>5</w:t>
            </w:r>
            <w:r>
              <w:rPr>
                <w:rFonts w:hint="eastAsia" w:ascii="方正仿宋_GBK" w:hAnsi="宋体" w:eastAsia="方正仿宋_GBK" w:cs="仿宋_GB2312"/>
                <w:bCs/>
                <w:color w:val="000000" w:themeColor="text1"/>
                <w:sz w:val="28"/>
                <w:szCs w:val="28"/>
              </w:rPr>
              <w:t>分）</w:t>
            </w:r>
          </w:p>
        </w:tc>
        <w:tc>
          <w:tcPr>
            <w:tcW w:w="6237" w:type="dxa"/>
            <w:vAlign w:val="center"/>
          </w:tcPr>
          <w:p>
            <w:pPr>
              <w:widowControl/>
              <w:snapToGrid w:val="0"/>
              <w:spacing w:line="480" w:lineRule="exact"/>
              <w:ind w:firstLine="560" w:firstLineChars="200"/>
              <w:jc w:val="left"/>
              <w:rPr>
                <w:rFonts w:ascii="方正仿宋_GBK" w:hAnsi="宋体" w:eastAsia="方正仿宋_GBK" w:cs="仿宋_GB2312"/>
                <w:bCs/>
                <w:color w:val="000000" w:themeColor="text1"/>
                <w:sz w:val="28"/>
                <w:szCs w:val="28"/>
              </w:rPr>
            </w:pPr>
            <w:r>
              <w:rPr>
                <w:rFonts w:hint="eastAsia" w:ascii="方正仿宋_GBK" w:hAnsi="宋体" w:eastAsia="方正仿宋_GBK" w:cs="仿宋_GB2312"/>
                <w:bCs/>
                <w:color w:val="000000" w:themeColor="text1"/>
                <w:sz w:val="28"/>
                <w:szCs w:val="28"/>
              </w:rPr>
              <w:t>签订有医院污水在线监测设备维保合同的一份得</w:t>
            </w:r>
            <w:r>
              <w:rPr>
                <w:rFonts w:ascii="方正仿宋_GBK" w:hAnsi="宋体" w:eastAsia="方正仿宋_GBK" w:cs="仿宋_GB2312"/>
                <w:bCs/>
                <w:color w:val="000000" w:themeColor="text1"/>
                <w:sz w:val="28"/>
                <w:szCs w:val="28"/>
              </w:rPr>
              <w:t>1</w:t>
            </w:r>
            <w:r>
              <w:rPr>
                <w:rFonts w:hint="eastAsia" w:ascii="方正仿宋_GBK" w:hAnsi="宋体" w:eastAsia="方正仿宋_GBK" w:cs="仿宋_GB2312"/>
                <w:bCs/>
                <w:color w:val="000000" w:themeColor="text1"/>
                <w:sz w:val="28"/>
                <w:szCs w:val="28"/>
              </w:rPr>
              <w:t>分，最多得</w:t>
            </w:r>
            <w:r>
              <w:rPr>
                <w:rFonts w:ascii="方正仿宋_GBK" w:hAnsi="宋体" w:eastAsia="方正仿宋_GBK" w:cs="仿宋_GB2312"/>
                <w:bCs/>
                <w:color w:val="000000" w:themeColor="text1"/>
                <w:sz w:val="28"/>
                <w:szCs w:val="28"/>
              </w:rPr>
              <w:t>5</w:t>
            </w:r>
            <w:r>
              <w:rPr>
                <w:rFonts w:hint="eastAsia" w:ascii="方正仿宋_GBK" w:hAnsi="宋体" w:eastAsia="方正仿宋_GBK" w:cs="仿宋_GB2312"/>
                <w:bCs/>
                <w:color w:val="000000" w:themeColor="text1"/>
                <w:sz w:val="28"/>
                <w:szCs w:val="28"/>
              </w:rPr>
              <w:t>分。（合同提供复印件盖鲜章）</w:t>
            </w:r>
          </w:p>
        </w:tc>
      </w:tr>
    </w:tbl>
    <w:p>
      <w:pPr>
        <w:snapToGrid w:val="0"/>
        <w:spacing w:line="560" w:lineRule="exact"/>
        <w:ind w:left="567" w:leftChars="270"/>
        <w:rPr>
          <w:rFonts w:ascii="方正仿宋_GBK" w:hAnsi="宋体" w:eastAsia="方正仿宋_GBK" w:cs="仿宋_GB2312"/>
          <w:bCs/>
          <w:sz w:val="28"/>
          <w:szCs w:val="28"/>
        </w:rPr>
      </w:pPr>
      <w:r>
        <w:rPr>
          <w:rFonts w:hint="eastAsia" w:ascii="方正仿宋_GBK" w:hAnsi="宋体" w:eastAsia="方正仿宋_GBK" w:cs="仿宋_GB2312"/>
          <w:bCs/>
          <w:sz w:val="28"/>
          <w:szCs w:val="28"/>
        </w:rPr>
        <w:t>6、竞标人得分：竞标人得分=A+B。</w:t>
      </w:r>
    </w:p>
    <w:p>
      <w:pPr>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采用以上方法确认中标人，得分最高为第一中标候选人，按得分由高到低排序确定前三名中标候选人，若得分相同时，比选人将选择总报价低的为第一中标候选人，在公示结束后无异议，第一中标候选人即为中标人。</w:t>
      </w:r>
    </w:p>
    <w:p>
      <w:pPr>
        <w:snapToGrid w:val="0"/>
        <w:spacing w:line="560" w:lineRule="exact"/>
        <w:ind w:firstLine="560" w:firstLineChars="200"/>
        <w:rPr>
          <w:rFonts w:ascii="方正仿宋_GBK" w:hAnsi="宋体" w:eastAsia="方正仿宋_GBK" w:cs="仿宋_GB2312"/>
          <w:bCs/>
          <w:sz w:val="28"/>
          <w:szCs w:val="28"/>
        </w:rPr>
      </w:pPr>
      <w:r>
        <w:rPr>
          <w:rFonts w:hint="eastAsia" w:ascii="方正仿宋_GBK" w:hAnsi="宋体" w:eastAsia="方正仿宋_GBK" w:cs="仿宋_GB2312"/>
          <w:bCs/>
          <w:sz w:val="28"/>
          <w:szCs w:val="28"/>
        </w:rPr>
        <w:t>7、评审依据：</w:t>
      </w:r>
    </w:p>
    <w:p>
      <w:pPr>
        <w:snapToGrid w:val="0"/>
        <w:spacing w:line="560" w:lineRule="exact"/>
        <w:ind w:firstLine="560" w:firstLineChars="200"/>
        <w:rPr>
          <w:rFonts w:ascii="方正仿宋_GBK" w:hAnsi="宋体" w:eastAsia="方正仿宋_GBK" w:cs="Times New Roman"/>
          <w:color w:val="FF0000"/>
          <w:sz w:val="28"/>
          <w:szCs w:val="20"/>
        </w:rPr>
      </w:pPr>
      <w:r>
        <w:rPr>
          <w:rFonts w:hint="eastAsia" w:ascii="方正仿宋_GBK" w:hAnsi="宋体" w:eastAsia="方正仿宋_GBK" w:cs="仿宋_GB2312"/>
          <w:bCs/>
          <w:sz w:val="28"/>
          <w:szCs w:val="28"/>
        </w:rPr>
        <w:t>评审的依据为竞标文件，比选小组判断竞标文件对竞争性比选文件的响应仅基于竞标文件本身而不靠外部证据。</w:t>
      </w:r>
    </w:p>
    <w:p>
      <w:pPr>
        <w:snapToGrid w:val="0"/>
        <w:spacing w:line="560" w:lineRule="exact"/>
        <w:ind w:firstLine="573"/>
        <w:rPr>
          <w:rFonts w:ascii="方正仿宋_GBK" w:hAnsi="宋体" w:eastAsia="方正仿宋_GBK" w:cs="Times New Roman"/>
          <w:sz w:val="28"/>
          <w:szCs w:val="20"/>
        </w:rPr>
      </w:pPr>
      <w:r>
        <w:rPr>
          <w:rFonts w:hint="eastAsia" w:ascii="方正仿宋_GBK" w:hAnsi="宋体" w:eastAsia="方正仿宋_GBK" w:cs="Times New Roman"/>
          <w:color w:val="000000" w:themeColor="text1"/>
          <w:sz w:val="28"/>
          <w:szCs w:val="20"/>
        </w:rPr>
        <w:t>8、评标结果：按不低于三名中标候选人进行比选。比选按评标办法选择第一中标候选人，在公示结束后无异议，第一中标候选人即为中标人。</w:t>
      </w:r>
    </w:p>
    <w:p>
      <w:pPr>
        <w:snapToGrid w:val="0"/>
        <w:spacing w:line="560" w:lineRule="exact"/>
        <w:ind w:firstLine="573"/>
        <w:rPr>
          <w:rFonts w:ascii="方正仿宋_GBK" w:hAnsi="宋体" w:eastAsia="方正仿宋_GBK" w:cs="Times New Roman"/>
          <w:b/>
          <w:color w:val="000000" w:themeColor="text1"/>
          <w:sz w:val="28"/>
          <w:szCs w:val="20"/>
        </w:rPr>
      </w:pPr>
      <w:r>
        <w:rPr>
          <w:rFonts w:hint="eastAsia" w:ascii="方正仿宋_GBK" w:hAnsi="宋体" w:eastAsia="方正仿宋_GBK" w:cs="Times New Roman"/>
          <w:b/>
          <w:color w:val="000000" w:themeColor="text1"/>
          <w:sz w:val="28"/>
          <w:szCs w:val="20"/>
        </w:rPr>
        <w:t>八、联系方式</w:t>
      </w:r>
    </w:p>
    <w:p>
      <w:pPr>
        <w:snapToGrid w:val="0"/>
        <w:spacing w:line="56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采购单位：</w:t>
      </w:r>
      <w:r>
        <w:rPr>
          <w:rFonts w:hint="eastAsia" w:ascii="方正仿宋_GBK" w:hAnsi="宋体" w:eastAsia="方正仿宋_GBK" w:cs="Times New Roman"/>
          <w:sz w:val="28"/>
          <w:szCs w:val="28"/>
        </w:rPr>
        <w:t>重庆市中医骨科医院</w:t>
      </w:r>
      <w:r>
        <w:rPr>
          <w:rFonts w:hint="eastAsia" w:ascii="方正仿宋_GBK" w:hAnsi="宋体" w:eastAsia="方正仿宋_GBK" w:cs="Times New Roman"/>
          <w:color w:val="000000"/>
          <w:sz w:val="28"/>
          <w:szCs w:val="20"/>
        </w:rPr>
        <w:t>。</w:t>
      </w:r>
    </w:p>
    <w:p>
      <w:pPr>
        <w:snapToGrid w:val="0"/>
        <w:spacing w:line="56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联系人：任老师</w:t>
      </w:r>
    </w:p>
    <w:p>
      <w:pPr>
        <w:snapToGrid w:val="0"/>
        <w:spacing w:line="56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s="Times New Roman"/>
          <w:color w:val="000000"/>
          <w:sz w:val="28"/>
          <w:szCs w:val="20"/>
        </w:rPr>
        <w:t>电话：（023）63931178</w:t>
      </w:r>
    </w:p>
    <w:p>
      <w:pPr>
        <w:snapToGrid w:val="0"/>
        <w:spacing w:line="560" w:lineRule="exact"/>
        <w:ind w:firstLine="560" w:firstLineChars="200"/>
        <w:rPr>
          <w:rFonts w:ascii="方正仿宋_GBK" w:hAnsi="宋体" w:eastAsia="方正仿宋_GBK" w:cs="Times New Roman"/>
          <w:color w:val="000000" w:themeColor="text1"/>
          <w:sz w:val="28"/>
          <w:szCs w:val="20"/>
        </w:rPr>
      </w:pPr>
      <w:r>
        <w:rPr>
          <w:rFonts w:hint="eastAsia" w:ascii="方正仿宋_GBK" w:hAnsi="宋体" w:eastAsia="方正仿宋_GBK" w:cs="Times New Roman"/>
          <w:color w:val="000000"/>
          <w:sz w:val="28"/>
          <w:szCs w:val="20"/>
        </w:rPr>
        <w:t>地址：</w:t>
      </w:r>
      <w:r>
        <w:rPr>
          <w:rFonts w:hint="eastAsia" w:ascii="方正仿宋_GBK" w:hAnsi="宋体" w:eastAsia="方正仿宋_GBK" w:cs="Times New Roman"/>
          <w:color w:val="000000" w:themeColor="text1"/>
          <w:sz w:val="28"/>
          <w:szCs w:val="20"/>
        </w:rPr>
        <w:t>渝中区解放西路9号</w:t>
      </w:r>
      <w:r>
        <w:rPr>
          <w:rFonts w:ascii="方正仿宋_GBK" w:hAnsi="宋体" w:eastAsia="方正仿宋_GBK" w:cs="Times New Roman"/>
          <w:color w:val="000000" w:themeColor="text1"/>
          <w:sz w:val="28"/>
          <w:szCs w:val="20"/>
        </w:rPr>
        <w:br w:type="page"/>
      </w:r>
    </w:p>
    <w:p>
      <w:pPr>
        <w:tabs>
          <w:tab w:val="left" w:pos="6300"/>
        </w:tabs>
        <w:snapToGrid w:val="0"/>
        <w:spacing w:line="480" w:lineRule="exact"/>
        <w:outlineLvl w:val="0"/>
        <w:rPr>
          <w:rFonts w:ascii="方正仿宋_GBK" w:eastAsia="方正仿宋_GBK" w:hAnsiTheme="minorEastAsia"/>
          <w:color w:val="000000" w:themeColor="text1"/>
          <w:sz w:val="32"/>
          <w:szCs w:val="32"/>
        </w:rPr>
      </w:pPr>
      <w:r>
        <w:rPr>
          <w:rFonts w:hint="eastAsia" w:ascii="方正仿宋_GBK" w:eastAsia="方正仿宋_GBK" w:hAnsiTheme="minorEastAsia"/>
          <w:color w:val="000000" w:themeColor="text1"/>
          <w:sz w:val="32"/>
          <w:szCs w:val="32"/>
        </w:rPr>
        <w:t>附件</w:t>
      </w:r>
      <w:r>
        <w:rPr>
          <w:rFonts w:ascii="方正仿宋_GBK" w:eastAsia="方正仿宋_GBK" w:hAnsiTheme="minorEastAsia"/>
          <w:color w:val="000000" w:themeColor="text1"/>
          <w:sz w:val="32"/>
          <w:szCs w:val="32"/>
        </w:rPr>
        <w:t>1</w:t>
      </w:r>
      <w:r>
        <w:rPr>
          <w:rFonts w:hint="eastAsia" w:ascii="方正仿宋_GBK" w:eastAsia="方正仿宋_GBK" w:hAnsiTheme="minorEastAsia"/>
          <w:color w:val="000000" w:themeColor="text1"/>
          <w:sz w:val="32"/>
          <w:szCs w:val="32"/>
        </w:rPr>
        <w:t>：</w:t>
      </w:r>
    </w:p>
    <w:p>
      <w:pPr>
        <w:tabs>
          <w:tab w:val="left" w:pos="6300"/>
        </w:tabs>
        <w:snapToGrid w:val="0"/>
        <w:spacing w:beforeLines="100" w:line="480" w:lineRule="exact"/>
        <w:jc w:val="center"/>
        <w:outlineLvl w:val="0"/>
        <w:rPr>
          <w:rFonts w:ascii="方正仿宋_GBK" w:eastAsia="方正仿宋_GBK" w:hAnsiTheme="minorEastAsia"/>
          <w:b/>
          <w:color w:val="000000" w:themeColor="text1"/>
          <w:sz w:val="32"/>
          <w:szCs w:val="32"/>
        </w:rPr>
      </w:pPr>
      <w:r>
        <w:rPr>
          <w:rFonts w:hint="eastAsia" w:ascii="方正仿宋_GBK" w:eastAsia="方正仿宋_GBK" w:hAnsiTheme="minorEastAsia"/>
          <w:b/>
          <w:color w:val="000000" w:themeColor="text1"/>
          <w:sz w:val="32"/>
          <w:szCs w:val="32"/>
        </w:rPr>
        <w:t>报价函（格式）</w:t>
      </w:r>
    </w:p>
    <w:p>
      <w:pPr>
        <w:tabs>
          <w:tab w:val="left" w:pos="6300"/>
        </w:tabs>
        <w:snapToGrid w:val="0"/>
        <w:spacing w:line="480" w:lineRule="exact"/>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致：</w:t>
      </w:r>
    </w:p>
    <w:p>
      <w:pPr>
        <w:tabs>
          <w:tab w:val="left" w:pos="6300"/>
        </w:tabs>
        <w:snapToGrid w:val="0"/>
        <w:spacing w:line="480" w:lineRule="exact"/>
        <w:ind w:firstLine="57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我方收到的比选文件，经详细研究，决定参加该比选项目的竞争比选。</w:t>
      </w:r>
    </w:p>
    <w:p>
      <w:pPr>
        <w:tabs>
          <w:tab w:val="left" w:pos="6300"/>
        </w:tabs>
        <w:snapToGrid w:val="0"/>
        <w:spacing w:line="480" w:lineRule="exact"/>
        <w:ind w:firstLine="560" w:firstLineChars="20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1、愿意按照竞争性比选文件中的一切要求，向比选人带给货物与服务，总报价为元(大写人民币： )。</w:t>
      </w:r>
    </w:p>
    <w:p>
      <w:pPr>
        <w:tabs>
          <w:tab w:val="left" w:pos="6300"/>
        </w:tabs>
        <w:snapToGrid w:val="0"/>
        <w:spacing w:line="480" w:lineRule="exact"/>
        <w:ind w:firstLine="57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2、我们提交的报价文件为：报价文件正本壹份。</w:t>
      </w:r>
    </w:p>
    <w:p>
      <w:pPr>
        <w:spacing w:line="480" w:lineRule="exact"/>
        <w:ind w:firstLine="555"/>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3、我们完全理解和接受贵方竞争性比选文件的一切规定和要求，完全答应比选文件中规定的所有条件和比选评审办法。</w:t>
      </w:r>
    </w:p>
    <w:p>
      <w:pPr>
        <w:spacing w:line="480" w:lineRule="exact"/>
        <w:ind w:firstLine="555"/>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4、在整个竞争性比选过程中，我方若有违规行为，贵方可按《中华人民共和国政府采购法》和《竞争性比选文件》之规定给予惩罚，我方完全接受。</w:t>
      </w:r>
    </w:p>
    <w:p>
      <w:pPr>
        <w:spacing w:line="480" w:lineRule="exact"/>
        <w:ind w:firstLine="555"/>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5、若我们成为成交单位，我方将按照最终比选结果签订合同，并按要求提交成果资料，且严格履行合同义务。本承诺函将成为合同不可分割的一部分，与合同具有同等的法律效力。</w:t>
      </w:r>
    </w:p>
    <w:p>
      <w:pPr>
        <w:tabs>
          <w:tab w:val="left" w:pos="6300"/>
        </w:tabs>
        <w:snapToGrid w:val="0"/>
        <w:spacing w:line="480" w:lineRule="exact"/>
        <w:ind w:firstLine="570"/>
        <w:rPr>
          <w:rFonts w:ascii="方正仿宋_GBK" w:eastAsia="方正仿宋_GBK" w:hAnsiTheme="minorEastAsia"/>
          <w:color w:val="000000" w:themeColor="text1"/>
          <w:sz w:val="28"/>
          <w:szCs w:val="28"/>
        </w:rPr>
      </w:pPr>
    </w:p>
    <w:p>
      <w:pPr>
        <w:tabs>
          <w:tab w:val="left" w:pos="6300"/>
        </w:tabs>
        <w:snapToGrid w:val="0"/>
        <w:spacing w:line="480" w:lineRule="exact"/>
        <w:ind w:firstLine="570"/>
        <w:rPr>
          <w:rFonts w:ascii="方正仿宋_GBK" w:eastAsia="方正仿宋_GBK" w:hAnsiTheme="minorEastAsia"/>
          <w:color w:val="000000" w:themeColor="text1"/>
          <w:sz w:val="28"/>
          <w:szCs w:val="28"/>
        </w:rPr>
      </w:pPr>
    </w:p>
    <w:p>
      <w:pPr>
        <w:snapToGrid w:val="0"/>
        <w:spacing w:line="360" w:lineRule="auto"/>
        <w:ind w:firstLine="478" w:firstLineChars="171"/>
        <w:rPr>
          <w:rFonts w:ascii="方正仿宋_GBK" w:eastAsia="方正仿宋_GBK" w:cs="仿宋_GB2312" w:hAnsiTheme="minorEastAsia"/>
          <w:color w:val="000000" w:themeColor="text1"/>
          <w:sz w:val="28"/>
          <w:szCs w:val="28"/>
        </w:rPr>
      </w:pPr>
      <w:r>
        <w:rPr>
          <w:rFonts w:hint="eastAsia" w:ascii="方正仿宋_GBK" w:eastAsia="方正仿宋_GBK" w:hAnsiTheme="minorEastAsia"/>
          <w:color w:val="000000" w:themeColor="text1"/>
          <w:sz w:val="28"/>
          <w:szCs w:val="28"/>
        </w:rPr>
        <w:t>竞标人（</w:t>
      </w:r>
      <w:r>
        <w:rPr>
          <w:rFonts w:hint="eastAsia" w:ascii="方正仿宋_GBK" w:eastAsia="方正仿宋_GBK" w:cs="仿宋_GB2312" w:hAnsiTheme="minorEastAsia"/>
          <w:color w:val="000000" w:themeColor="text1"/>
          <w:sz w:val="28"/>
          <w:szCs w:val="28"/>
        </w:rPr>
        <w:t xml:space="preserve">法定代表人或法定代表人授权代表签名）: </w:t>
      </w:r>
    </w:p>
    <w:p>
      <w:pPr>
        <w:tabs>
          <w:tab w:val="left" w:pos="6300"/>
        </w:tabs>
        <w:snapToGrid w:val="0"/>
        <w:spacing w:line="480" w:lineRule="exact"/>
        <w:ind w:firstLine="57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（公章）：</w:t>
      </w:r>
    </w:p>
    <w:p>
      <w:pPr>
        <w:tabs>
          <w:tab w:val="left" w:pos="6300"/>
        </w:tabs>
        <w:snapToGrid w:val="0"/>
        <w:spacing w:line="480" w:lineRule="exact"/>
        <w:ind w:firstLine="570"/>
        <w:rPr>
          <w:rFonts w:ascii="方正仿宋_GBK" w:eastAsia="方正仿宋_GBK" w:hAnsiTheme="minorEastAsia"/>
          <w:color w:val="000000" w:themeColor="text1"/>
          <w:sz w:val="28"/>
          <w:szCs w:val="28"/>
        </w:rPr>
      </w:pPr>
    </w:p>
    <w:p>
      <w:pPr>
        <w:tabs>
          <w:tab w:val="left" w:pos="6300"/>
        </w:tabs>
        <w:snapToGrid w:val="0"/>
        <w:spacing w:line="480" w:lineRule="exact"/>
        <w:ind w:firstLine="57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 xml:space="preserve">地址：  </w:t>
      </w:r>
    </w:p>
    <w:p>
      <w:pPr>
        <w:tabs>
          <w:tab w:val="left" w:pos="6300"/>
        </w:tabs>
        <w:snapToGrid w:val="0"/>
        <w:spacing w:line="480" w:lineRule="exact"/>
        <w:ind w:firstLine="57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电话：                           传真：</w:t>
      </w:r>
    </w:p>
    <w:p>
      <w:pPr>
        <w:tabs>
          <w:tab w:val="left" w:pos="6300"/>
        </w:tabs>
        <w:snapToGrid w:val="0"/>
        <w:spacing w:line="480" w:lineRule="exact"/>
        <w:ind w:firstLine="570"/>
        <w:rPr>
          <w:rFonts w:ascii="方正仿宋_GBK" w:eastAsia="方正仿宋_GBK" w:hAnsiTheme="minorEastAsia"/>
          <w:color w:val="000000" w:themeColor="text1"/>
          <w:sz w:val="28"/>
          <w:szCs w:val="28"/>
        </w:rPr>
      </w:pPr>
      <w:r>
        <w:rPr>
          <w:rFonts w:hint="eastAsia" w:ascii="方正仿宋_GBK" w:eastAsia="方正仿宋_GBK" w:hAnsiTheme="minorEastAsia"/>
          <w:color w:val="000000" w:themeColor="text1"/>
          <w:sz w:val="28"/>
          <w:szCs w:val="28"/>
        </w:rPr>
        <w:t>网址：                           邮编：</w:t>
      </w:r>
    </w:p>
    <w:p>
      <w:pPr>
        <w:snapToGrid w:val="0"/>
        <w:spacing w:line="520" w:lineRule="exact"/>
        <w:ind w:firstLine="560" w:firstLineChars="200"/>
        <w:rPr>
          <w:rFonts w:ascii="方正仿宋_GBK" w:hAnsi="宋体" w:eastAsia="方正仿宋_GBK"/>
          <w:color w:val="000000" w:themeColor="text1"/>
          <w:sz w:val="28"/>
          <w:szCs w:val="28"/>
        </w:rPr>
      </w:pPr>
    </w:p>
    <w:p>
      <w:pPr>
        <w:snapToGrid w:val="0"/>
        <w:spacing w:line="52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年   月   日</w:t>
      </w:r>
    </w:p>
    <w:p>
      <w:pPr>
        <w:widowControl/>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br w:type="page"/>
      </w:r>
    </w:p>
    <w:p>
      <w:pPr>
        <w:snapToGrid w:val="0"/>
        <w:spacing w:line="360" w:lineRule="auto"/>
        <w:ind w:firstLine="420" w:firstLineChars="200"/>
        <w:rPr>
          <w:rFonts w:ascii="方正仿宋_GBK" w:hAnsi="宋体" w:eastAsia="方正仿宋_GBK"/>
          <w:color w:val="000000" w:themeColor="text1"/>
          <w:szCs w:val="28"/>
          <w:bdr w:val="single" w:color="auto" w:sz="4" w:space="0"/>
        </w:rPr>
        <w:sectPr>
          <w:footerReference r:id="rId3" w:type="default"/>
          <w:pgSz w:w="11907" w:h="16840"/>
          <w:pgMar w:top="1418" w:right="1474" w:bottom="1418" w:left="1474" w:header="851" w:footer="992" w:gutter="0"/>
          <w:pgNumType w:fmt="numberInDash" w:start="0" w:chapStyle="2"/>
          <w:cols w:space="720" w:num="1"/>
          <w:titlePg/>
          <w:docGrid w:linePitch="380" w:charSpace="-5735"/>
        </w:sectPr>
      </w:pPr>
    </w:p>
    <w:p>
      <w:pPr>
        <w:tabs>
          <w:tab w:val="left" w:pos="6300"/>
        </w:tabs>
        <w:snapToGrid w:val="0"/>
        <w:spacing w:line="480" w:lineRule="exact"/>
        <w:outlineLvl w:val="0"/>
        <w:rPr>
          <w:rFonts w:ascii="方正仿宋_GBK" w:hAnsi="宋体" w:eastAsia="方正仿宋_GBK"/>
          <w:color w:val="000000" w:themeColor="text1"/>
          <w:sz w:val="32"/>
          <w:szCs w:val="32"/>
        </w:rPr>
      </w:pPr>
      <w:r>
        <w:rPr>
          <w:rFonts w:hint="eastAsia" w:ascii="方正仿宋_GBK" w:hAnsi="宋体" w:eastAsia="方正仿宋_GBK"/>
          <w:color w:val="000000" w:themeColor="text1"/>
          <w:sz w:val="32"/>
          <w:szCs w:val="32"/>
        </w:rPr>
        <w:t>附件</w:t>
      </w:r>
      <w:r>
        <w:rPr>
          <w:rFonts w:ascii="方正仿宋_GBK" w:hAnsi="宋体" w:eastAsia="方正仿宋_GBK"/>
          <w:color w:val="000000" w:themeColor="text1"/>
          <w:sz w:val="32"/>
          <w:szCs w:val="32"/>
        </w:rPr>
        <w:t>2</w:t>
      </w:r>
      <w:r>
        <w:rPr>
          <w:rFonts w:hint="eastAsia" w:ascii="方正仿宋_GBK" w:hAnsi="宋体" w:eastAsia="方正仿宋_GBK"/>
          <w:color w:val="000000" w:themeColor="text1"/>
          <w:sz w:val="32"/>
          <w:szCs w:val="32"/>
        </w:rPr>
        <w:t>：</w:t>
      </w:r>
    </w:p>
    <w:p>
      <w:pPr>
        <w:tabs>
          <w:tab w:val="left" w:pos="6300"/>
        </w:tabs>
        <w:snapToGrid w:val="0"/>
        <w:spacing w:beforeLines="100" w:afterLines="100" w:line="400" w:lineRule="atLeast"/>
        <w:jc w:val="center"/>
        <w:outlineLvl w:val="0"/>
        <w:rPr>
          <w:rFonts w:ascii="方正仿宋_GBK" w:hAnsi="宋体" w:eastAsia="方正仿宋_GBK"/>
          <w:b/>
          <w:color w:val="000000" w:themeColor="text1"/>
          <w:sz w:val="32"/>
          <w:szCs w:val="32"/>
        </w:rPr>
      </w:pPr>
      <w:r>
        <w:rPr>
          <w:rFonts w:hint="eastAsia" w:ascii="方正仿宋_GBK" w:hAnsi="宋体" w:eastAsia="方正仿宋_GBK"/>
          <w:b/>
          <w:color w:val="000000" w:themeColor="text1"/>
          <w:sz w:val="32"/>
          <w:szCs w:val="32"/>
        </w:rPr>
        <w:t>法定代表人授权委托书（格式）</w:t>
      </w:r>
    </w:p>
    <w:p>
      <w:pPr>
        <w:tabs>
          <w:tab w:val="left" w:pos="6300"/>
        </w:tabs>
        <w:snapToGrid w:val="0"/>
        <w:spacing w:line="500" w:lineRule="atLeas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项目名称：</w:t>
      </w:r>
    </w:p>
    <w:p>
      <w:pPr>
        <w:tabs>
          <w:tab w:val="left" w:pos="6300"/>
        </w:tabs>
        <w:snapToGrid w:val="0"/>
        <w:spacing w:line="500" w:lineRule="atLeas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日    期：</w:t>
      </w:r>
    </w:p>
    <w:p>
      <w:pPr>
        <w:tabs>
          <w:tab w:val="left" w:pos="6300"/>
        </w:tabs>
        <w:snapToGrid w:val="0"/>
        <w:spacing w:line="500" w:lineRule="atLeas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致：（竞争性比选人名称）</w:t>
      </w:r>
    </w:p>
    <w:p>
      <w:pPr>
        <w:tabs>
          <w:tab w:val="left" w:pos="6300"/>
        </w:tabs>
        <w:snapToGrid w:val="0"/>
        <w:spacing w:line="500" w:lineRule="atLeast"/>
        <w:ind w:firstLine="555"/>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（竞标人名称）是中华人民共和国合法企业，法定地址。</w:t>
      </w:r>
    </w:p>
    <w:p>
      <w:pPr>
        <w:tabs>
          <w:tab w:val="left" w:pos="6300"/>
        </w:tabs>
        <w:snapToGrid w:val="0"/>
        <w:spacing w:line="500" w:lineRule="atLeast"/>
        <w:ind w:firstLine="555"/>
        <w:rPr>
          <w:rFonts w:ascii="方正仿宋_GBK" w:hAnsi="宋体" w:eastAsia="方正仿宋_GBK"/>
          <w:color w:val="000000" w:themeColor="text1"/>
          <w:sz w:val="28"/>
          <w:szCs w:val="28"/>
        </w:rPr>
      </w:pPr>
      <w:r>
        <w:rPr>
          <w:rFonts w:hint="eastAsia" w:ascii="方正仿宋_GBK" w:hAnsi="宋体" w:eastAsia="方正仿宋_GBK" w:cs="宋体"/>
          <w:color w:val="000000" w:themeColor="text1"/>
          <w:sz w:val="28"/>
          <w:szCs w:val="28"/>
        </w:rPr>
        <w:t xml:space="preserve">本人（身份证号码：；）系 </w:t>
      </w:r>
      <w:r>
        <w:rPr>
          <w:rFonts w:hint="eastAsia" w:ascii="方正仿宋_GBK" w:hAnsi="宋体" w:eastAsia="方正仿宋_GBK" w:cs="宋体"/>
          <w:color w:val="000000" w:themeColor="text1"/>
          <w:sz w:val="28"/>
          <w:szCs w:val="28"/>
          <w:u w:val="single"/>
        </w:rPr>
        <w:t xml:space="preserve">                                      （单位名称）</w:t>
      </w:r>
      <w:r>
        <w:rPr>
          <w:rFonts w:hint="eastAsia" w:ascii="方正仿宋_GBK" w:hAnsi="宋体" w:eastAsia="方正仿宋_GBK" w:cs="宋体"/>
          <w:color w:val="000000" w:themeColor="text1"/>
          <w:sz w:val="28"/>
          <w:szCs w:val="28"/>
        </w:rPr>
        <w:t>的法定代表人，</w:t>
      </w:r>
      <w:r>
        <w:rPr>
          <w:rFonts w:hint="eastAsia" w:ascii="方正仿宋_GBK" w:hAnsi="宋体" w:eastAsia="方正仿宋_GBK"/>
          <w:color w:val="000000" w:themeColor="text1"/>
          <w:sz w:val="28"/>
          <w:szCs w:val="28"/>
        </w:rPr>
        <w:t>特</w:t>
      </w:r>
      <w:r>
        <w:rPr>
          <w:rFonts w:hint="eastAsia" w:ascii="方正仿宋_GBK" w:hAnsi="宋体" w:eastAsia="方正仿宋_GBK" w:cs="宋体"/>
          <w:color w:val="000000" w:themeColor="text1"/>
          <w:sz w:val="28"/>
          <w:szCs w:val="28"/>
        </w:rPr>
        <w:t>授权委托</w:t>
      </w:r>
      <w:r>
        <w:rPr>
          <w:rFonts w:hint="eastAsia" w:ascii="方正仿宋_GBK" w:hAnsi="宋体" w:eastAsia="方正仿宋_GBK" w:cs="宋体"/>
          <w:bCs/>
          <w:color w:val="000000" w:themeColor="text1"/>
          <w:sz w:val="28"/>
          <w:szCs w:val="28"/>
        </w:rPr>
        <w:t>本公司</w:t>
      </w:r>
      <w:r>
        <w:rPr>
          <w:rFonts w:hint="eastAsia" w:ascii="方正仿宋_GBK" w:hAnsi="宋体" w:eastAsia="方正仿宋_GBK" w:cs="宋体"/>
          <w:color w:val="000000" w:themeColor="text1"/>
          <w:sz w:val="28"/>
          <w:szCs w:val="28"/>
        </w:rPr>
        <w:t>的（身份证号码：；）</w:t>
      </w:r>
      <w:r>
        <w:rPr>
          <w:rFonts w:hint="eastAsia" w:ascii="方正仿宋_GBK" w:hAnsi="宋体" w:eastAsia="方正仿宋_GBK"/>
          <w:color w:val="000000" w:themeColor="text1"/>
          <w:sz w:val="28"/>
          <w:szCs w:val="28"/>
        </w:rPr>
        <w:t>代表我单位全权办理对上述项目的比选、签约等具体工作，并签署全部有关的文件、协议及合同。</w:t>
      </w:r>
    </w:p>
    <w:p>
      <w:pPr>
        <w:tabs>
          <w:tab w:val="left" w:pos="6300"/>
        </w:tabs>
        <w:snapToGrid w:val="0"/>
        <w:spacing w:line="500" w:lineRule="atLeast"/>
        <w:ind w:firstLine="555"/>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我单位对被授权人的签名负全部责任。</w:t>
      </w:r>
    </w:p>
    <w:p>
      <w:pPr>
        <w:tabs>
          <w:tab w:val="left" w:pos="6300"/>
        </w:tabs>
        <w:snapToGrid w:val="0"/>
        <w:spacing w:line="500" w:lineRule="atLeast"/>
        <w:ind w:firstLine="555"/>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在撤消授权的书面通知以前，本授权书一直有效。被授权人签署的所有文件（在授权书有效期内签署的）不因授权的撤消而失效。</w:t>
      </w:r>
    </w:p>
    <w:p>
      <w:pPr>
        <w:tabs>
          <w:tab w:val="left" w:pos="6300"/>
        </w:tabs>
        <w:snapToGrid w:val="0"/>
        <w:spacing w:line="500" w:lineRule="atLeast"/>
        <w:rPr>
          <w:rFonts w:ascii="方正仿宋_GBK" w:hAnsi="宋体" w:eastAsia="方正仿宋_GBK"/>
          <w:color w:val="000000" w:themeColor="text1"/>
          <w:sz w:val="28"/>
          <w:szCs w:val="28"/>
        </w:rPr>
      </w:pPr>
    </w:p>
    <w:p>
      <w:pPr>
        <w:tabs>
          <w:tab w:val="left" w:pos="6300"/>
        </w:tabs>
        <w:snapToGrid w:val="0"/>
        <w:spacing w:line="500" w:lineRule="atLeas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被授权人签名：                    法定代表人签名：</w:t>
      </w:r>
    </w:p>
    <w:p>
      <w:pPr>
        <w:tabs>
          <w:tab w:val="left" w:pos="6300"/>
        </w:tabs>
        <w:snapToGrid w:val="0"/>
        <w:spacing w:line="500" w:lineRule="atLeas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职  务：                            职  务：</w:t>
      </w:r>
    </w:p>
    <w:p>
      <w:pPr>
        <w:snapToGrid w:val="0"/>
        <w:spacing w:line="360" w:lineRule="auto"/>
        <w:rPr>
          <w:rFonts w:ascii="方正仿宋_GBK" w:hAnsi="宋体" w:eastAsia="方正仿宋_GBK"/>
          <w:color w:val="000000" w:themeColor="text1"/>
          <w:sz w:val="28"/>
          <w:szCs w:val="28"/>
        </w:rPr>
      </w:pPr>
    </w:p>
    <w:p>
      <w:pPr>
        <w:snapToGrid w:val="0"/>
        <w:spacing w:line="360" w:lineRule="auto"/>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公章：</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tcPr>
          <w:p>
            <w:pPr>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法定代表人身份证</w:t>
            </w:r>
          </w:p>
          <w:p>
            <w:pPr>
              <w:jc w:val="center"/>
              <w:rPr>
                <w:rFonts w:ascii="方正仿宋_GBK" w:eastAsia="方正仿宋_GBK"/>
                <w:color w:val="000000" w:themeColor="text1"/>
                <w:sz w:val="28"/>
                <w:szCs w:val="28"/>
              </w:rPr>
            </w:pPr>
          </w:p>
          <w:p>
            <w:pPr>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正反两面</w:t>
            </w:r>
          </w:p>
          <w:p>
            <w:pPr>
              <w:rPr>
                <w:rFonts w:ascii="方正仿宋_GBK" w:eastAsia="方正仿宋_GBK"/>
                <w:color w:val="000000" w:themeColor="text1"/>
                <w:sz w:val="28"/>
                <w:szCs w:val="28"/>
              </w:rPr>
            </w:pPr>
          </w:p>
        </w:tc>
        <w:tc>
          <w:tcPr>
            <w:tcW w:w="4261" w:type="dxa"/>
          </w:tcPr>
          <w:p>
            <w:pPr>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委托代理人身份证</w:t>
            </w:r>
          </w:p>
          <w:p>
            <w:pPr>
              <w:jc w:val="center"/>
              <w:rPr>
                <w:rFonts w:ascii="方正仿宋_GBK" w:eastAsia="方正仿宋_GBK"/>
                <w:color w:val="000000" w:themeColor="text1"/>
                <w:sz w:val="28"/>
                <w:szCs w:val="28"/>
              </w:rPr>
            </w:pPr>
          </w:p>
          <w:p>
            <w:pPr>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正反两面</w:t>
            </w:r>
          </w:p>
          <w:p>
            <w:pPr>
              <w:rPr>
                <w:rFonts w:ascii="方正仿宋_GBK" w:eastAsia="方正仿宋_GBK"/>
                <w:color w:val="000000" w:themeColor="text1"/>
                <w:sz w:val="28"/>
                <w:szCs w:val="28"/>
              </w:rPr>
            </w:pPr>
          </w:p>
        </w:tc>
      </w:tr>
    </w:tbl>
    <w:p>
      <w:pPr>
        <w:widowControl/>
        <w:jc w:val="left"/>
        <w:rPr>
          <w:rFonts w:ascii="方正仿宋_GBK" w:hAnsi="宋体" w:eastAsia="方正仿宋_GBK" w:cs="MingLiU"/>
          <w:color w:val="000000" w:themeColor="text1"/>
          <w:kern w:val="0"/>
        </w:rPr>
      </w:pPr>
      <w:r>
        <w:rPr>
          <w:rFonts w:hint="eastAsia" w:ascii="方正仿宋_GBK" w:hAnsi="宋体" w:eastAsia="方正仿宋_GBK" w:cs="MingLiU"/>
          <w:color w:val="000000" w:themeColor="text1"/>
          <w:kern w:val="0"/>
        </w:rPr>
        <w:t>注：1、法定代表人参加投标活动并签署文件的不需要授权委托书，只需提供法定代表人身份证明；非法定代表人参加投标活动及签署文件的除提供法定代表人身份证明外还须提供授权委托书。</w:t>
      </w:r>
    </w:p>
    <w:p>
      <w:pPr>
        <w:widowControl/>
        <w:jc w:val="left"/>
        <w:rPr>
          <w:rFonts w:ascii="方正仿宋_GBK" w:hAnsi="宋体" w:eastAsia="方正仿宋_GBK" w:cs="MingLiU"/>
          <w:color w:val="000000" w:themeColor="text1"/>
          <w:kern w:val="0"/>
          <w:sz w:val="32"/>
          <w:szCs w:val="32"/>
        </w:rPr>
      </w:pPr>
      <w:r>
        <w:rPr>
          <w:rFonts w:hint="eastAsia" w:ascii="方正仿宋_GBK" w:hAnsi="宋体" w:eastAsia="方正仿宋_GBK" w:cs="MingLiU"/>
          <w:color w:val="000000" w:themeColor="text1"/>
          <w:kern w:val="0"/>
          <w:sz w:val="32"/>
          <w:szCs w:val="32"/>
        </w:rPr>
        <w:t>附件</w:t>
      </w:r>
      <w:r>
        <w:rPr>
          <w:rFonts w:ascii="方正仿宋_GBK" w:hAnsi="宋体" w:eastAsia="方正仿宋_GBK" w:cs="MingLiU"/>
          <w:color w:val="000000" w:themeColor="text1"/>
          <w:kern w:val="0"/>
          <w:sz w:val="32"/>
          <w:szCs w:val="32"/>
        </w:rPr>
        <w:t>3</w:t>
      </w:r>
    </w:p>
    <w:p>
      <w:pPr>
        <w:tabs>
          <w:tab w:val="left" w:pos="6300"/>
        </w:tabs>
        <w:snapToGrid w:val="0"/>
        <w:spacing w:line="400" w:lineRule="atLeast"/>
        <w:jc w:val="center"/>
        <w:outlineLvl w:val="0"/>
        <w:rPr>
          <w:rFonts w:ascii="方正仿宋_GBK" w:hAnsi="宋体" w:eastAsia="方正仿宋_GBK"/>
          <w:color w:val="000000" w:themeColor="text1"/>
          <w:sz w:val="32"/>
          <w:szCs w:val="32"/>
        </w:rPr>
      </w:pPr>
      <w:r>
        <w:rPr>
          <w:rFonts w:hint="eastAsia" w:ascii="方正仿宋_GBK" w:hAnsi="宋体" w:eastAsia="方正仿宋_GBK"/>
          <w:b/>
          <w:color w:val="000000" w:themeColor="text1"/>
          <w:sz w:val="32"/>
          <w:szCs w:val="32"/>
        </w:rPr>
        <w:t>诚信声明（格式）</w:t>
      </w:r>
    </w:p>
    <w:p>
      <w:pPr>
        <w:snapToGrid w:val="0"/>
        <w:spacing w:line="360" w:lineRule="auto"/>
        <w:rPr>
          <w:rFonts w:ascii="方正仿宋_GBK" w:hAnsi="宋体" w:eastAsia="方正仿宋_GBK"/>
          <w:b/>
          <w:color w:val="000000" w:themeColor="text1"/>
          <w:sz w:val="28"/>
          <w:szCs w:val="28"/>
          <w:bdr w:val="single" w:color="auto" w:sz="4" w:space="0"/>
        </w:rPr>
      </w:pPr>
    </w:p>
    <w:p>
      <w:pPr>
        <w:tabs>
          <w:tab w:val="left" w:pos="6300"/>
        </w:tabs>
        <w:snapToGrid w:val="0"/>
        <w:spacing w:line="500" w:lineRule="exact"/>
        <w:rPr>
          <w:rFonts w:ascii="方正仿宋_GBK" w:hAnsi="宋体" w:eastAsia="方正仿宋_GBK"/>
          <w:color w:val="000000" w:themeColor="text1"/>
          <w:sz w:val="28"/>
          <w:szCs w:val="28"/>
          <w:u w:val="single"/>
        </w:rPr>
      </w:pPr>
      <w:r>
        <w:rPr>
          <w:rFonts w:hint="eastAsia" w:ascii="方正仿宋_GBK" w:hAnsi="宋体" w:eastAsia="方正仿宋_GBK"/>
          <w:color w:val="000000" w:themeColor="text1"/>
          <w:sz w:val="28"/>
          <w:szCs w:val="28"/>
        </w:rPr>
        <w:t>比选项目名称：</w:t>
      </w:r>
    </w:p>
    <w:p>
      <w:pPr>
        <w:tabs>
          <w:tab w:val="left" w:pos="6300"/>
        </w:tabs>
        <w:snapToGrid w:val="0"/>
        <w:spacing w:line="500" w:lineRule="exact"/>
        <w:rPr>
          <w:rFonts w:ascii="方正仿宋_GBK" w:hAnsi="宋体" w:eastAsia="方正仿宋_GBK"/>
          <w:color w:val="000000" w:themeColor="text1"/>
          <w:sz w:val="28"/>
          <w:szCs w:val="28"/>
        </w:rPr>
      </w:pPr>
    </w:p>
    <w:p>
      <w:pPr>
        <w:tabs>
          <w:tab w:val="left" w:pos="6300"/>
        </w:tabs>
        <w:snapToGrid w:val="0"/>
        <w:spacing w:line="560" w:lineRule="exact"/>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致：（比选单位）：</w:t>
      </w:r>
    </w:p>
    <w:p>
      <w:pPr>
        <w:pStyle w:val="19"/>
        <w:spacing w:line="560" w:lineRule="exact"/>
        <w:ind w:firstLine="560" w:firstLineChars="200"/>
        <w:jc w:val="left"/>
        <w:rPr>
          <w:rFonts w:ascii="方正仿宋_GBK" w:hAnsi="宋体" w:eastAsia="方正仿宋_GBK"/>
          <w:b w:val="0"/>
          <w:color w:val="000000" w:themeColor="text1"/>
          <w:sz w:val="28"/>
          <w:szCs w:val="28"/>
        </w:rPr>
      </w:pPr>
      <w:r>
        <w:rPr>
          <w:rFonts w:hint="eastAsia" w:ascii="方正仿宋_GBK" w:hAnsi="宋体" w:eastAsia="方正仿宋_GBK"/>
          <w:b w:val="0"/>
          <w:color w:val="000000" w:themeColor="text1"/>
          <w:sz w:val="28"/>
          <w:szCs w:val="28"/>
          <w:u w:val="single"/>
        </w:rPr>
        <w:t>（竞标人名称）</w:t>
      </w:r>
      <w:r>
        <w:rPr>
          <w:rFonts w:hint="eastAsia" w:ascii="方正仿宋_GBK" w:hAnsi="宋体" w:eastAsia="方正仿宋_GBK"/>
          <w:b w:val="0"/>
          <w:color w:val="000000" w:themeColor="text1"/>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pPr>
        <w:tabs>
          <w:tab w:val="left" w:pos="6300"/>
        </w:tabs>
        <w:snapToGrid w:val="0"/>
        <w:spacing w:line="520" w:lineRule="exact"/>
        <w:rPr>
          <w:rFonts w:ascii="方正仿宋_GBK" w:hAnsi="宋体" w:eastAsia="方正仿宋_GBK"/>
          <w:color w:val="000000" w:themeColor="text1"/>
          <w:sz w:val="28"/>
          <w:szCs w:val="28"/>
        </w:rPr>
      </w:pPr>
      <w:r>
        <w:rPr>
          <w:rFonts w:hint="eastAsia" w:ascii="方正仿宋_GBK" w:hAnsi="宋体" w:eastAsia="方正仿宋_GBK"/>
          <w:bCs/>
          <w:color w:val="000000" w:themeColor="text1"/>
          <w:sz w:val="28"/>
          <w:szCs w:val="28"/>
        </w:rPr>
        <w:t xml:space="preserve">    特此声明。</w:t>
      </w:r>
    </w:p>
    <w:p>
      <w:pPr>
        <w:tabs>
          <w:tab w:val="left" w:pos="6300"/>
        </w:tabs>
        <w:snapToGrid w:val="0"/>
        <w:spacing w:line="520" w:lineRule="exact"/>
        <w:rPr>
          <w:rFonts w:ascii="方正仿宋_GBK" w:hAnsi="宋体" w:eastAsia="方正仿宋_GBK"/>
          <w:color w:val="000000" w:themeColor="text1"/>
          <w:sz w:val="28"/>
          <w:szCs w:val="28"/>
        </w:rPr>
      </w:pPr>
    </w:p>
    <w:p>
      <w:pPr>
        <w:tabs>
          <w:tab w:val="left" w:pos="6300"/>
        </w:tabs>
        <w:snapToGrid w:val="0"/>
        <w:spacing w:line="500" w:lineRule="exact"/>
        <w:rPr>
          <w:rFonts w:ascii="方正仿宋_GBK" w:hAnsi="宋体" w:eastAsia="方正仿宋_GBK"/>
          <w:color w:val="000000" w:themeColor="text1"/>
          <w:sz w:val="28"/>
          <w:szCs w:val="28"/>
        </w:rPr>
      </w:pPr>
    </w:p>
    <w:p>
      <w:pPr>
        <w:tabs>
          <w:tab w:val="left" w:pos="6300"/>
        </w:tabs>
        <w:snapToGrid w:val="0"/>
        <w:spacing w:line="500" w:lineRule="exact"/>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s="Times New Roman"/>
          <w:color w:val="000000"/>
          <w:sz w:val="28"/>
          <w:szCs w:val="20"/>
        </w:rPr>
      </w:pPr>
      <w:r>
        <w:rPr>
          <w:rFonts w:hint="eastAsia" w:ascii="方正仿宋_GBK" w:hAnsi="宋体" w:eastAsia="方正仿宋_GBK"/>
          <w:color w:val="000000" w:themeColor="text1"/>
          <w:sz w:val="28"/>
          <w:szCs w:val="28"/>
        </w:rPr>
        <w:t>（竞标人公章）</w:t>
      </w:r>
    </w:p>
    <w:sectPr>
      <w:headerReference r:id="rId4" w:type="default"/>
      <w:head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194E5"/>
    <w:multiLevelType w:val="singleLevel"/>
    <w:tmpl w:val="E65194E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jOTZlNTVmZmM0Mzg0NTE5NDZmZGZlODYzZjAzNDIifQ=="/>
  </w:docVars>
  <w:rsids>
    <w:rsidRoot w:val="00E7197A"/>
    <w:rsid w:val="00000C01"/>
    <w:rsid w:val="00011F2F"/>
    <w:rsid w:val="00017391"/>
    <w:rsid w:val="000329B6"/>
    <w:rsid w:val="000330BB"/>
    <w:rsid w:val="00042246"/>
    <w:rsid w:val="00042C26"/>
    <w:rsid w:val="0005441C"/>
    <w:rsid w:val="00055C74"/>
    <w:rsid w:val="000565A7"/>
    <w:rsid w:val="00064559"/>
    <w:rsid w:val="000652E2"/>
    <w:rsid w:val="0007447D"/>
    <w:rsid w:val="000855B3"/>
    <w:rsid w:val="00086E02"/>
    <w:rsid w:val="000A003D"/>
    <w:rsid w:val="000A6473"/>
    <w:rsid w:val="000A6EC6"/>
    <w:rsid w:val="000B205A"/>
    <w:rsid w:val="000B4F65"/>
    <w:rsid w:val="000B6539"/>
    <w:rsid w:val="000B6544"/>
    <w:rsid w:val="000B7C66"/>
    <w:rsid w:val="000D4FFB"/>
    <w:rsid w:val="000E180D"/>
    <w:rsid w:val="000E5425"/>
    <w:rsid w:val="000E70BA"/>
    <w:rsid w:val="000E770F"/>
    <w:rsid w:val="000F5ADE"/>
    <w:rsid w:val="00106A81"/>
    <w:rsid w:val="00112657"/>
    <w:rsid w:val="00114C0F"/>
    <w:rsid w:val="00122450"/>
    <w:rsid w:val="00131DEB"/>
    <w:rsid w:val="00133E9C"/>
    <w:rsid w:val="00140290"/>
    <w:rsid w:val="00145EC1"/>
    <w:rsid w:val="0015740D"/>
    <w:rsid w:val="00157689"/>
    <w:rsid w:val="0016451F"/>
    <w:rsid w:val="001674D9"/>
    <w:rsid w:val="00167862"/>
    <w:rsid w:val="0017713F"/>
    <w:rsid w:val="00182BF6"/>
    <w:rsid w:val="00185357"/>
    <w:rsid w:val="00194A6A"/>
    <w:rsid w:val="001A2C8D"/>
    <w:rsid w:val="001B6FDB"/>
    <w:rsid w:val="001B70B5"/>
    <w:rsid w:val="001D18F7"/>
    <w:rsid w:val="001D644F"/>
    <w:rsid w:val="001F2C9E"/>
    <w:rsid w:val="00201141"/>
    <w:rsid w:val="002024D0"/>
    <w:rsid w:val="00207489"/>
    <w:rsid w:val="00216BC3"/>
    <w:rsid w:val="00242914"/>
    <w:rsid w:val="002430C4"/>
    <w:rsid w:val="00250BCA"/>
    <w:rsid w:val="00260E26"/>
    <w:rsid w:val="00262C77"/>
    <w:rsid w:val="00264A43"/>
    <w:rsid w:val="0027283E"/>
    <w:rsid w:val="002769D0"/>
    <w:rsid w:val="002847D2"/>
    <w:rsid w:val="002A107D"/>
    <w:rsid w:val="002A4BBC"/>
    <w:rsid w:val="002B23A2"/>
    <w:rsid w:val="002D06DE"/>
    <w:rsid w:val="002D66C5"/>
    <w:rsid w:val="002E0454"/>
    <w:rsid w:val="002E08F8"/>
    <w:rsid w:val="002E3901"/>
    <w:rsid w:val="002F20B3"/>
    <w:rsid w:val="002F3FD6"/>
    <w:rsid w:val="00307668"/>
    <w:rsid w:val="00316607"/>
    <w:rsid w:val="0032588C"/>
    <w:rsid w:val="0032705F"/>
    <w:rsid w:val="00330D7A"/>
    <w:rsid w:val="00331A28"/>
    <w:rsid w:val="0033289B"/>
    <w:rsid w:val="00335FFB"/>
    <w:rsid w:val="00342D4C"/>
    <w:rsid w:val="00354264"/>
    <w:rsid w:val="00355667"/>
    <w:rsid w:val="00363A0A"/>
    <w:rsid w:val="003746B3"/>
    <w:rsid w:val="003A7A4A"/>
    <w:rsid w:val="003B3465"/>
    <w:rsid w:val="003B5961"/>
    <w:rsid w:val="003B5DA7"/>
    <w:rsid w:val="003B6D51"/>
    <w:rsid w:val="003C5646"/>
    <w:rsid w:val="003C6EB0"/>
    <w:rsid w:val="003E2D96"/>
    <w:rsid w:val="003E3703"/>
    <w:rsid w:val="003F09D6"/>
    <w:rsid w:val="003F781F"/>
    <w:rsid w:val="004019F2"/>
    <w:rsid w:val="004038B3"/>
    <w:rsid w:val="00403C2A"/>
    <w:rsid w:val="00407AD9"/>
    <w:rsid w:val="00410228"/>
    <w:rsid w:val="00410A8E"/>
    <w:rsid w:val="0041354E"/>
    <w:rsid w:val="004206D6"/>
    <w:rsid w:val="0042156B"/>
    <w:rsid w:val="00423270"/>
    <w:rsid w:val="00425DCF"/>
    <w:rsid w:val="00427F1D"/>
    <w:rsid w:val="004332F5"/>
    <w:rsid w:val="00434495"/>
    <w:rsid w:val="004400A3"/>
    <w:rsid w:val="00440F74"/>
    <w:rsid w:val="00442D11"/>
    <w:rsid w:val="00443CB4"/>
    <w:rsid w:val="004453E0"/>
    <w:rsid w:val="00452A3F"/>
    <w:rsid w:val="004576F8"/>
    <w:rsid w:val="004578CD"/>
    <w:rsid w:val="00461F56"/>
    <w:rsid w:val="004629A0"/>
    <w:rsid w:val="00466BC2"/>
    <w:rsid w:val="004708BB"/>
    <w:rsid w:val="00470979"/>
    <w:rsid w:val="00474D53"/>
    <w:rsid w:val="00477D1E"/>
    <w:rsid w:val="004962FC"/>
    <w:rsid w:val="004B29BA"/>
    <w:rsid w:val="004B3A76"/>
    <w:rsid w:val="004C4A6F"/>
    <w:rsid w:val="004D5746"/>
    <w:rsid w:val="004D70ED"/>
    <w:rsid w:val="004E1282"/>
    <w:rsid w:val="004E4050"/>
    <w:rsid w:val="004E6726"/>
    <w:rsid w:val="004F6125"/>
    <w:rsid w:val="004F63E0"/>
    <w:rsid w:val="004F7525"/>
    <w:rsid w:val="00505D24"/>
    <w:rsid w:val="00510B26"/>
    <w:rsid w:val="005306B4"/>
    <w:rsid w:val="005328A2"/>
    <w:rsid w:val="00535B7C"/>
    <w:rsid w:val="00535FAA"/>
    <w:rsid w:val="005410C8"/>
    <w:rsid w:val="00546004"/>
    <w:rsid w:val="00553ADB"/>
    <w:rsid w:val="0056082B"/>
    <w:rsid w:val="00563EE7"/>
    <w:rsid w:val="00567796"/>
    <w:rsid w:val="00583231"/>
    <w:rsid w:val="0058431F"/>
    <w:rsid w:val="00587798"/>
    <w:rsid w:val="00594943"/>
    <w:rsid w:val="005952FA"/>
    <w:rsid w:val="0059617D"/>
    <w:rsid w:val="00597936"/>
    <w:rsid w:val="005A45E7"/>
    <w:rsid w:val="005A5B62"/>
    <w:rsid w:val="005A611E"/>
    <w:rsid w:val="005B1C29"/>
    <w:rsid w:val="005B4BFB"/>
    <w:rsid w:val="005C7768"/>
    <w:rsid w:val="005D2F6C"/>
    <w:rsid w:val="005D5FA8"/>
    <w:rsid w:val="005E2244"/>
    <w:rsid w:val="005E3117"/>
    <w:rsid w:val="005E5046"/>
    <w:rsid w:val="005F6953"/>
    <w:rsid w:val="006002CA"/>
    <w:rsid w:val="006033E7"/>
    <w:rsid w:val="0060518B"/>
    <w:rsid w:val="00606871"/>
    <w:rsid w:val="00612E20"/>
    <w:rsid w:val="0061494B"/>
    <w:rsid w:val="0061599D"/>
    <w:rsid w:val="006212C2"/>
    <w:rsid w:val="00622683"/>
    <w:rsid w:val="00626932"/>
    <w:rsid w:val="00632335"/>
    <w:rsid w:val="006432D4"/>
    <w:rsid w:val="00665ACE"/>
    <w:rsid w:val="00666C55"/>
    <w:rsid w:val="00670CC6"/>
    <w:rsid w:val="00671750"/>
    <w:rsid w:val="00671B9F"/>
    <w:rsid w:val="00691752"/>
    <w:rsid w:val="006944C7"/>
    <w:rsid w:val="006965D0"/>
    <w:rsid w:val="006969AE"/>
    <w:rsid w:val="006B51B0"/>
    <w:rsid w:val="006B5265"/>
    <w:rsid w:val="006C7950"/>
    <w:rsid w:val="006D4A14"/>
    <w:rsid w:val="006D7FBA"/>
    <w:rsid w:val="006E201E"/>
    <w:rsid w:val="006E2D8D"/>
    <w:rsid w:val="006E4CDB"/>
    <w:rsid w:val="006E71AF"/>
    <w:rsid w:val="006F77B5"/>
    <w:rsid w:val="006F78BE"/>
    <w:rsid w:val="00700A2C"/>
    <w:rsid w:val="00702C2C"/>
    <w:rsid w:val="0070455C"/>
    <w:rsid w:val="00714C36"/>
    <w:rsid w:val="00745876"/>
    <w:rsid w:val="00764485"/>
    <w:rsid w:val="00766636"/>
    <w:rsid w:val="0076729D"/>
    <w:rsid w:val="00771C42"/>
    <w:rsid w:val="00783DC6"/>
    <w:rsid w:val="00786949"/>
    <w:rsid w:val="00793126"/>
    <w:rsid w:val="00795B84"/>
    <w:rsid w:val="007A702E"/>
    <w:rsid w:val="007B2269"/>
    <w:rsid w:val="007B5DCF"/>
    <w:rsid w:val="007C5C7E"/>
    <w:rsid w:val="007E36FD"/>
    <w:rsid w:val="007E5BED"/>
    <w:rsid w:val="007F5D2F"/>
    <w:rsid w:val="008013E5"/>
    <w:rsid w:val="00806424"/>
    <w:rsid w:val="00812034"/>
    <w:rsid w:val="008127DA"/>
    <w:rsid w:val="00813EDD"/>
    <w:rsid w:val="00814798"/>
    <w:rsid w:val="00815780"/>
    <w:rsid w:val="00817720"/>
    <w:rsid w:val="00824035"/>
    <w:rsid w:val="008315C7"/>
    <w:rsid w:val="00832EF5"/>
    <w:rsid w:val="008440BF"/>
    <w:rsid w:val="00844D35"/>
    <w:rsid w:val="00846EF2"/>
    <w:rsid w:val="00853510"/>
    <w:rsid w:val="00854FE9"/>
    <w:rsid w:val="00865E5C"/>
    <w:rsid w:val="008731C4"/>
    <w:rsid w:val="00873BBC"/>
    <w:rsid w:val="0087653E"/>
    <w:rsid w:val="00877DB2"/>
    <w:rsid w:val="00881D7A"/>
    <w:rsid w:val="00883A01"/>
    <w:rsid w:val="008874B2"/>
    <w:rsid w:val="00896048"/>
    <w:rsid w:val="008B1DAF"/>
    <w:rsid w:val="008B3784"/>
    <w:rsid w:val="008C7B47"/>
    <w:rsid w:val="008D76B8"/>
    <w:rsid w:val="008E11A0"/>
    <w:rsid w:val="008E1557"/>
    <w:rsid w:val="00903830"/>
    <w:rsid w:val="00904696"/>
    <w:rsid w:val="009057A4"/>
    <w:rsid w:val="00905D04"/>
    <w:rsid w:val="00913A8D"/>
    <w:rsid w:val="0092124D"/>
    <w:rsid w:val="00936956"/>
    <w:rsid w:val="00950621"/>
    <w:rsid w:val="00954C0E"/>
    <w:rsid w:val="00964DD1"/>
    <w:rsid w:val="009746EF"/>
    <w:rsid w:val="00974FC5"/>
    <w:rsid w:val="00976711"/>
    <w:rsid w:val="00982D44"/>
    <w:rsid w:val="00982E0F"/>
    <w:rsid w:val="0098302E"/>
    <w:rsid w:val="009A00BE"/>
    <w:rsid w:val="009A1566"/>
    <w:rsid w:val="009A30F9"/>
    <w:rsid w:val="009B1746"/>
    <w:rsid w:val="009C23E1"/>
    <w:rsid w:val="009D0B2A"/>
    <w:rsid w:val="009D4671"/>
    <w:rsid w:val="009F7ECD"/>
    <w:rsid w:val="00A11019"/>
    <w:rsid w:val="00A174B1"/>
    <w:rsid w:val="00A24774"/>
    <w:rsid w:val="00A26DD3"/>
    <w:rsid w:val="00A33292"/>
    <w:rsid w:val="00A40CEA"/>
    <w:rsid w:val="00A52579"/>
    <w:rsid w:val="00A56329"/>
    <w:rsid w:val="00A6692F"/>
    <w:rsid w:val="00A75D44"/>
    <w:rsid w:val="00A80279"/>
    <w:rsid w:val="00A827F0"/>
    <w:rsid w:val="00A87E6B"/>
    <w:rsid w:val="00A94CD5"/>
    <w:rsid w:val="00AA649D"/>
    <w:rsid w:val="00AB3B7C"/>
    <w:rsid w:val="00AB3BE2"/>
    <w:rsid w:val="00AC210E"/>
    <w:rsid w:val="00AC442F"/>
    <w:rsid w:val="00AC7E85"/>
    <w:rsid w:val="00AD4B24"/>
    <w:rsid w:val="00AE15E3"/>
    <w:rsid w:val="00AF2AC9"/>
    <w:rsid w:val="00AF3115"/>
    <w:rsid w:val="00AF5A3D"/>
    <w:rsid w:val="00AF5EC0"/>
    <w:rsid w:val="00AF77ED"/>
    <w:rsid w:val="00B01ED4"/>
    <w:rsid w:val="00B11F04"/>
    <w:rsid w:val="00B162F0"/>
    <w:rsid w:val="00B17EC6"/>
    <w:rsid w:val="00B24783"/>
    <w:rsid w:val="00B269B8"/>
    <w:rsid w:val="00B30E69"/>
    <w:rsid w:val="00B448FA"/>
    <w:rsid w:val="00B54BC3"/>
    <w:rsid w:val="00B56AA3"/>
    <w:rsid w:val="00B57654"/>
    <w:rsid w:val="00B66327"/>
    <w:rsid w:val="00B8259A"/>
    <w:rsid w:val="00B949D0"/>
    <w:rsid w:val="00B9770E"/>
    <w:rsid w:val="00BA06FA"/>
    <w:rsid w:val="00BA0D3D"/>
    <w:rsid w:val="00BA7648"/>
    <w:rsid w:val="00BB3F2C"/>
    <w:rsid w:val="00BC013C"/>
    <w:rsid w:val="00BD192A"/>
    <w:rsid w:val="00BE0202"/>
    <w:rsid w:val="00BE3E62"/>
    <w:rsid w:val="00BE7BF7"/>
    <w:rsid w:val="00BF4178"/>
    <w:rsid w:val="00BF455F"/>
    <w:rsid w:val="00C01E80"/>
    <w:rsid w:val="00C050B4"/>
    <w:rsid w:val="00C05636"/>
    <w:rsid w:val="00C06D25"/>
    <w:rsid w:val="00C164D2"/>
    <w:rsid w:val="00C217DA"/>
    <w:rsid w:val="00C36E86"/>
    <w:rsid w:val="00C4045A"/>
    <w:rsid w:val="00C43C37"/>
    <w:rsid w:val="00C457D5"/>
    <w:rsid w:val="00C46F86"/>
    <w:rsid w:val="00C55BC4"/>
    <w:rsid w:val="00C7271C"/>
    <w:rsid w:val="00C75A67"/>
    <w:rsid w:val="00C80B89"/>
    <w:rsid w:val="00C83BD3"/>
    <w:rsid w:val="00CA0AC0"/>
    <w:rsid w:val="00CA2DE0"/>
    <w:rsid w:val="00CA3068"/>
    <w:rsid w:val="00CA49C3"/>
    <w:rsid w:val="00CB7F86"/>
    <w:rsid w:val="00CC2C6F"/>
    <w:rsid w:val="00CE1333"/>
    <w:rsid w:val="00CF5542"/>
    <w:rsid w:val="00D02133"/>
    <w:rsid w:val="00D0339E"/>
    <w:rsid w:val="00D050EB"/>
    <w:rsid w:val="00D12398"/>
    <w:rsid w:val="00D169EB"/>
    <w:rsid w:val="00D171B4"/>
    <w:rsid w:val="00D20697"/>
    <w:rsid w:val="00D23ED8"/>
    <w:rsid w:val="00D2534E"/>
    <w:rsid w:val="00D329B3"/>
    <w:rsid w:val="00D33C7C"/>
    <w:rsid w:val="00D362AF"/>
    <w:rsid w:val="00D428A0"/>
    <w:rsid w:val="00D4369A"/>
    <w:rsid w:val="00D4519B"/>
    <w:rsid w:val="00D45E5C"/>
    <w:rsid w:val="00D46868"/>
    <w:rsid w:val="00D50D1A"/>
    <w:rsid w:val="00D560F8"/>
    <w:rsid w:val="00D602F9"/>
    <w:rsid w:val="00D60FBC"/>
    <w:rsid w:val="00D7228D"/>
    <w:rsid w:val="00D802D5"/>
    <w:rsid w:val="00D8075B"/>
    <w:rsid w:val="00D83CB4"/>
    <w:rsid w:val="00D90773"/>
    <w:rsid w:val="00D95266"/>
    <w:rsid w:val="00D96F2F"/>
    <w:rsid w:val="00DA2D42"/>
    <w:rsid w:val="00DB0C45"/>
    <w:rsid w:val="00DB4BB1"/>
    <w:rsid w:val="00DB5F56"/>
    <w:rsid w:val="00DC35E6"/>
    <w:rsid w:val="00DC3E10"/>
    <w:rsid w:val="00DD191A"/>
    <w:rsid w:val="00DD348B"/>
    <w:rsid w:val="00DF503E"/>
    <w:rsid w:val="00DF5440"/>
    <w:rsid w:val="00E0187B"/>
    <w:rsid w:val="00E165AD"/>
    <w:rsid w:val="00E170C9"/>
    <w:rsid w:val="00E2153D"/>
    <w:rsid w:val="00E251C0"/>
    <w:rsid w:val="00E26DBB"/>
    <w:rsid w:val="00E26F0E"/>
    <w:rsid w:val="00E27017"/>
    <w:rsid w:val="00E3245B"/>
    <w:rsid w:val="00E34DBA"/>
    <w:rsid w:val="00E35F31"/>
    <w:rsid w:val="00E47E39"/>
    <w:rsid w:val="00E5576A"/>
    <w:rsid w:val="00E67BA9"/>
    <w:rsid w:val="00E7197A"/>
    <w:rsid w:val="00E72E82"/>
    <w:rsid w:val="00E830FE"/>
    <w:rsid w:val="00E904EC"/>
    <w:rsid w:val="00EA087A"/>
    <w:rsid w:val="00EA2A03"/>
    <w:rsid w:val="00EB2D55"/>
    <w:rsid w:val="00EB33A3"/>
    <w:rsid w:val="00EB580B"/>
    <w:rsid w:val="00EB739B"/>
    <w:rsid w:val="00EC022C"/>
    <w:rsid w:val="00EC4CB2"/>
    <w:rsid w:val="00EC514C"/>
    <w:rsid w:val="00ED00C9"/>
    <w:rsid w:val="00ED19C5"/>
    <w:rsid w:val="00ED1A44"/>
    <w:rsid w:val="00ED1B19"/>
    <w:rsid w:val="00ED2FE7"/>
    <w:rsid w:val="00ED7168"/>
    <w:rsid w:val="00EE02C6"/>
    <w:rsid w:val="00EF3116"/>
    <w:rsid w:val="00EF7726"/>
    <w:rsid w:val="00EF77A2"/>
    <w:rsid w:val="00F1625F"/>
    <w:rsid w:val="00F23565"/>
    <w:rsid w:val="00F41709"/>
    <w:rsid w:val="00F54576"/>
    <w:rsid w:val="00F55897"/>
    <w:rsid w:val="00F72044"/>
    <w:rsid w:val="00F80230"/>
    <w:rsid w:val="00F82127"/>
    <w:rsid w:val="00FA101F"/>
    <w:rsid w:val="00FA2008"/>
    <w:rsid w:val="00FA4F35"/>
    <w:rsid w:val="00FB26C4"/>
    <w:rsid w:val="00FB62A0"/>
    <w:rsid w:val="00FB6A7D"/>
    <w:rsid w:val="00FB76A0"/>
    <w:rsid w:val="00FC2636"/>
    <w:rsid w:val="00FC2F45"/>
    <w:rsid w:val="00FC72C4"/>
    <w:rsid w:val="00FD2167"/>
    <w:rsid w:val="00FE4C2E"/>
    <w:rsid w:val="00FF3FA7"/>
    <w:rsid w:val="00FF629C"/>
    <w:rsid w:val="08862CA8"/>
    <w:rsid w:val="0BD06D86"/>
    <w:rsid w:val="1117098B"/>
    <w:rsid w:val="17EF5906"/>
    <w:rsid w:val="1B8D73B5"/>
    <w:rsid w:val="1BAF26FD"/>
    <w:rsid w:val="24876914"/>
    <w:rsid w:val="28167C00"/>
    <w:rsid w:val="29245EB7"/>
    <w:rsid w:val="2C6C5D39"/>
    <w:rsid w:val="2FF31F49"/>
    <w:rsid w:val="306A5FC4"/>
    <w:rsid w:val="32FA6587"/>
    <w:rsid w:val="335C5BB5"/>
    <w:rsid w:val="33963D36"/>
    <w:rsid w:val="39B27B36"/>
    <w:rsid w:val="3C3D319E"/>
    <w:rsid w:val="3DAD6ECD"/>
    <w:rsid w:val="3DB57251"/>
    <w:rsid w:val="41763B82"/>
    <w:rsid w:val="42D44443"/>
    <w:rsid w:val="43160CE2"/>
    <w:rsid w:val="43323541"/>
    <w:rsid w:val="4BBF5FE5"/>
    <w:rsid w:val="4C2F4672"/>
    <w:rsid w:val="4EA8070C"/>
    <w:rsid w:val="50F10A5F"/>
    <w:rsid w:val="562E39E9"/>
    <w:rsid w:val="566A31F2"/>
    <w:rsid w:val="59B535DF"/>
    <w:rsid w:val="59CD60BE"/>
    <w:rsid w:val="5A857BC0"/>
    <w:rsid w:val="61045329"/>
    <w:rsid w:val="64D32E4E"/>
    <w:rsid w:val="679F04A6"/>
    <w:rsid w:val="692B6005"/>
    <w:rsid w:val="69733420"/>
    <w:rsid w:val="698E5EA7"/>
    <w:rsid w:val="6C236025"/>
    <w:rsid w:val="6CDA4E44"/>
    <w:rsid w:val="6FB91CF8"/>
    <w:rsid w:val="70231FE3"/>
    <w:rsid w:val="744F5F49"/>
    <w:rsid w:val="7C3E3AED"/>
    <w:rsid w:val="7C951E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qFormat/>
    <w:uiPriority w:val="0"/>
    <w:pPr>
      <w:keepNext/>
      <w:keepLines/>
      <w:spacing w:before="260" w:after="260" w:line="413" w:lineRule="auto"/>
      <w:outlineLvl w:val="2"/>
    </w:pPr>
    <w:rPr>
      <w:rFonts w:ascii="Calibri" w:hAnsi="Calibri" w:eastAsia="宋体" w:cs="Times New Roman"/>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1620"/>
      </w:tabs>
      <w:ind w:firstLine="420" w:firstLineChars="200"/>
    </w:pPr>
    <w:rPr>
      <w:rFonts w:asciiTheme="minorHAnsi" w:hAnsiTheme="minorHAnsi" w:cstheme="minorBidi"/>
    </w:rPr>
  </w:style>
  <w:style w:type="paragraph" w:styleId="5">
    <w:name w:val="toc 3"/>
    <w:basedOn w:val="1"/>
    <w:next w:val="1"/>
    <w:qFormat/>
    <w:uiPriority w:val="39"/>
    <w:pPr>
      <w:ind w:left="400" w:leftChars="400"/>
    </w:pPr>
    <w:rPr>
      <w:rFonts w:ascii="Calibri" w:hAnsi="Calibri" w:eastAsia="宋体" w:cs="Times New Roman"/>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0"/>
    <w:semiHidden/>
    <w:unhideWhenUsed/>
    <w:qFormat/>
    <w:uiPriority w:val="99"/>
    <w:pPr>
      <w:spacing w:after="120" w:line="480" w:lineRule="auto"/>
    </w:p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批注框文本 Char"/>
    <w:basedOn w:val="11"/>
    <w:link w:val="6"/>
    <w:semiHidden/>
    <w:qFormat/>
    <w:uiPriority w:val="99"/>
    <w:rPr>
      <w:sz w:val="18"/>
      <w:szCs w:val="18"/>
    </w:rPr>
  </w:style>
  <w:style w:type="character" w:customStyle="1" w:styleId="15">
    <w:name w:val="标题 3 Char"/>
    <w:basedOn w:val="11"/>
    <w:link w:val="4"/>
    <w:qFormat/>
    <w:uiPriority w:val="0"/>
    <w:rPr>
      <w:rFonts w:ascii="Calibri" w:hAnsi="Calibri" w:eastAsia="宋体" w:cs="Times New Roman"/>
      <w:b/>
      <w:sz w:val="32"/>
      <w:szCs w:val="20"/>
    </w:rPr>
  </w:style>
  <w:style w:type="paragraph" w:styleId="16">
    <w:name w:val="List Paragraph"/>
    <w:basedOn w:val="1"/>
    <w:qFormat/>
    <w:uiPriority w:val="34"/>
    <w:pPr>
      <w:ind w:firstLine="420" w:firstLineChars="200"/>
    </w:pPr>
    <w:rPr>
      <w:rFonts w:ascii="Calibri" w:hAnsi="Calibri" w:eastAsia="宋体" w:cs="Times New Roman"/>
    </w:r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8">
    <w:name w:val="fontstyle01"/>
    <w:basedOn w:val="11"/>
    <w:qFormat/>
    <w:uiPriority w:val="0"/>
    <w:rPr>
      <w:rFonts w:hint="eastAsia" w:ascii="宋体" w:hAnsi="宋体" w:eastAsia="宋体"/>
      <w:color w:val="000000"/>
      <w:sz w:val="24"/>
      <w:szCs w:val="24"/>
    </w:rPr>
  </w:style>
  <w:style w:type="paragraph" w:customStyle="1" w:styleId="19">
    <w:name w:val="1"/>
    <w:basedOn w:val="1"/>
    <w:next w:val="9"/>
    <w:qFormat/>
    <w:uiPriority w:val="0"/>
    <w:pPr>
      <w:jc w:val="center"/>
    </w:pPr>
    <w:rPr>
      <w:rFonts w:ascii="Times New Roman" w:hAnsi="Times New Roman" w:eastAsia="宋体" w:cs="Times New Roman"/>
      <w:b/>
      <w:bCs/>
      <w:sz w:val="36"/>
      <w:szCs w:val="21"/>
    </w:rPr>
  </w:style>
  <w:style w:type="character" w:customStyle="1" w:styleId="20">
    <w:name w:val="正文文本 2 Char"/>
    <w:basedOn w:val="11"/>
    <w:link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62EE-2B5A-4966-83C3-FCF43779C98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3147</Words>
  <Characters>3243</Characters>
  <Lines>24</Lines>
  <Paragraphs>6</Paragraphs>
  <TotalTime>5</TotalTime>
  <ScaleCrop>false</ScaleCrop>
  <LinksUpToDate>false</LinksUpToDate>
  <CharactersWithSpaces>3504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2021-07-21T02:32:00Z</dcterms:created>
  <dc:creator>Sky123.Org</dc:creator>
  <cp:lastModifiedBy>BaoZ！</cp:lastModifiedBy>
  <cp:lastPrinted>2021-09-28T03:11:00Z</cp:lastPrinted>
  <dcterms:modified xsi:type="dcterms:W3CDTF">2023-04-06T03:06:56Z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B89876DFDEC441C2BAC37836BBCAB908</vt:lpwstr>
  </property>
</Properties>
</file>