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4" w:lineRule="exact"/>
        <w:ind w:firstLine="640" w:firstLineChars="200"/>
        <w:jc w:val="center"/>
        <w:rPr>
          <w:rFonts w:ascii="Times New Roman" w:hAnsi="Times New Roman" w:eastAsia="方正仿宋_GBK"/>
          <w:sz w:val="32"/>
          <w:szCs w:val="32"/>
        </w:rPr>
      </w:pPr>
    </w:p>
    <w:p>
      <w:pPr>
        <w:spacing w:line="594" w:lineRule="exact"/>
        <w:ind w:firstLine="963" w:firstLineChars="200"/>
        <w:jc w:val="center"/>
        <w:outlineLvl w:val="0"/>
        <w:rPr>
          <w:rFonts w:ascii="Times New Roman" w:hAnsi="Times New Roman" w:eastAsia="方正仿宋_GBK"/>
          <w:b/>
          <w:bCs/>
          <w:color w:val="FF0000"/>
          <w:spacing w:val="80"/>
          <w:sz w:val="32"/>
          <w:szCs w:val="32"/>
        </w:rPr>
      </w:pPr>
    </w:p>
    <w:p>
      <w:pPr>
        <w:spacing w:line="594" w:lineRule="exact"/>
        <w:jc w:val="center"/>
        <w:outlineLvl w:val="0"/>
        <w:rPr>
          <w:rFonts w:ascii="Times New Roman" w:hAnsi="Times New Roman" w:eastAsia="方正小标宋_GBK"/>
          <w:sz w:val="44"/>
          <w:szCs w:val="44"/>
        </w:rPr>
      </w:pPr>
      <w:bookmarkStart w:id="0" w:name="_Toc18881"/>
      <w:bookmarkStart w:id="1" w:name="_Toc317775175"/>
      <w:bookmarkStart w:id="2" w:name="_Toc7625"/>
      <w:bookmarkStart w:id="3" w:name="_Toc18159"/>
      <w:bookmarkStart w:id="4" w:name="_Toc12808"/>
      <w:bookmarkStart w:id="5" w:name="_Toc25458"/>
      <w:bookmarkStart w:id="6" w:name="_Toc26820"/>
      <w:bookmarkStart w:id="7" w:name="_Toc3463"/>
      <w:bookmarkStart w:id="8" w:name="_Toc313893526"/>
      <w:r>
        <w:rPr>
          <w:rFonts w:ascii="Times New Roman" w:hAnsi="Times New Roman" w:eastAsia="方正小标宋_GBK"/>
          <w:sz w:val="44"/>
          <w:szCs w:val="44"/>
        </w:rPr>
        <w:t>重庆市中医骨科医院</w:t>
      </w:r>
    </w:p>
    <w:p>
      <w:pPr>
        <w:autoSpaceDE w:val="0"/>
        <w:autoSpaceDN w:val="0"/>
        <w:adjustRightInd w:val="0"/>
        <w:snapToGrid w:val="0"/>
        <w:spacing w:line="594" w:lineRule="exact"/>
        <w:ind w:firstLine="880" w:firstLineChars="200"/>
        <w:jc w:val="center"/>
        <w:rPr>
          <w:rFonts w:ascii="Times New Roman" w:hAnsi="Times New Roman" w:eastAsia="方正小标宋_GBK"/>
          <w:sz w:val="44"/>
          <w:szCs w:val="44"/>
        </w:rPr>
      </w:pPr>
    </w:p>
    <w:p>
      <w:pPr>
        <w:autoSpaceDE w:val="0"/>
        <w:autoSpaceDN w:val="0"/>
        <w:adjustRightInd w:val="0"/>
        <w:snapToGrid w:val="0"/>
        <w:spacing w:line="594" w:lineRule="exact"/>
        <w:jc w:val="center"/>
        <w:rPr>
          <w:rFonts w:ascii="Times New Roman" w:hAnsi="Times New Roman" w:eastAsia="方正小标宋_GBK"/>
          <w:kern w:val="0"/>
          <w:sz w:val="44"/>
          <w:szCs w:val="44"/>
        </w:rPr>
      </w:pPr>
      <w:r>
        <w:rPr>
          <w:rFonts w:ascii="Times New Roman" w:hAnsi="Times New Roman" w:eastAsia="方正小标宋_GBK"/>
          <w:sz w:val="44"/>
          <w:szCs w:val="44"/>
        </w:rPr>
        <w:t>招标文件</w:t>
      </w:r>
    </w:p>
    <w:p>
      <w:pPr>
        <w:snapToGrid w:val="0"/>
        <w:spacing w:line="594" w:lineRule="exact"/>
        <w:ind w:firstLine="640" w:firstLineChars="200"/>
        <w:rPr>
          <w:rFonts w:ascii="Times New Roman" w:hAnsi="Times New Roman" w:eastAsia="方正仿宋_GBK"/>
          <w:sz w:val="32"/>
          <w:szCs w:val="32"/>
        </w:rPr>
      </w:pPr>
    </w:p>
    <w:p>
      <w:pPr>
        <w:snapToGrid w:val="0"/>
        <w:spacing w:line="594" w:lineRule="exact"/>
        <w:ind w:firstLine="640" w:firstLineChars="200"/>
        <w:rPr>
          <w:rFonts w:ascii="Times New Roman" w:hAnsi="Times New Roman" w:eastAsia="方正仿宋_GBK"/>
          <w:sz w:val="32"/>
          <w:szCs w:val="32"/>
        </w:rPr>
      </w:pPr>
    </w:p>
    <w:p>
      <w:pPr>
        <w:spacing w:line="594" w:lineRule="exact"/>
        <w:ind w:firstLine="640" w:firstLineChars="200"/>
        <w:jc w:val="left"/>
        <w:rPr>
          <w:rFonts w:ascii="Times New Roman" w:hAnsi="Times New Roman" w:eastAsia="方正仿宋_GBK"/>
          <w:kern w:val="0"/>
          <w:sz w:val="32"/>
          <w:szCs w:val="32"/>
        </w:rPr>
      </w:pPr>
    </w:p>
    <w:p>
      <w:pPr>
        <w:spacing w:line="594" w:lineRule="exact"/>
        <w:ind w:firstLine="640" w:firstLineChars="200"/>
        <w:jc w:val="left"/>
        <w:rPr>
          <w:rFonts w:ascii="Times New Roman" w:hAnsi="Times New Roman" w:eastAsia="方正仿宋_GBK"/>
          <w:kern w:val="0"/>
          <w:sz w:val="32"/>
          <w:szCs w:val="32"/>
        </w:rPr>
      </w:pPr>
    </w:p>
    <w:p>
      <w:pPr>
        <w:spacing w:line="594" w:lineRule="exact"/>
        <w:ind w:firstLine="640" w:firstLineChars="200"/>
        <w:jc w:val="left"/>
        <w:rPr>
          <w:rFonts w:ascii="Times New Roman" w:hAnsi="Times New Roman" w:eastAsia="方正仿宋_GBK"/>
          <w:kern w:val="0"/>
          <w:sz w:val="32"/>
          <w:szCs w:val="32"/>
        </w:rPr>
      </w:pPr>
    </w:p>
    <w:p>
      <w:pPr>
        <w:spacing w:line="594" w:lineRule="exact"/>
        <w:ind w:firstLine="640" w:firstLineChars="200"/>
        <w:jc w:val="center"/>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kern w:val="0"/>
          <w:sz w:val="32"/>
          <w:szCs w:val="32"/>
        </w:rPr>
        <w:t>项目名称：</w:t>
      </w:r>
      <w:r>
        <w:rPr>
          <w:rFonts w:ascii="Times New Roman" w:hAnsi="Times New Roman" w:eastAsia="方正仿宋_GBK"/>
          <w:color w:val="000000" w:themeColor="text1"/>
          <w:kern w:val="0"/>
          <w:sz w:val="32"/>
          <w:szCs w:val="32"/>
          <w14:textFill>
            <w14:solidFill>
              <w14:schemeClr w14:val="tx1"/>
            </w14:solidFill>
          </w14:textFill>
        </w:rPr>
        <w:t>医院</w:t>
      </w:r>
      <w:r>
        <w:rPr>
          <w:rFonts w:hint="eastAsia" w:ascii="Times New Roman" w:hAnsi="Times New Roman" w:eastAsia="方正仿宋_GBK"/>
          <w:color w:val="000000" w:themeColor="text1"/>
          <w:kern w:val="0"/>
          <w:sz w:val="32"/>
          <w:szCs w:val="32"/>
          <w14:textFill>
            <w14:solidFill>
              <w14:schemeClr w14:val="tx1"/>
            </w14:solidFill>
          </w14:textFill>
        </w:rPr>
        <w:t>隔音室设备采购及安装</w:t>
      </w:r>
    </w:p>
    <w:p>
      <w:pPr>
        <w:spacing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kern w:val="0"/>
          <w:sz w:val="32"/>
          <w:szCs w:val="32"/>
        </w:rPr>
        <w:t>采购人：重庆市中医骨科医院</w:t>
      </w:r>
    </w:p>
    <w:p>
      <w:pPr>
        <w:autoSpaceDE w:val="0"/>
        <w:autoSpaceDN w:val="0"/>
        <w:adjustRightInd w:val="0"/>
        <w:snapToGrid w:val="0"/>
        <w:spacing w:line="594" w:lineRule="exact"/>
        <w:ind w:firstLine="640" w:firstLineChars="200"/>
        <w:jc w:val="center"/>
        <w:rPr>
          <w:rFonts w:ascii="Times New Roman" w:hAnsi="Times New Roman" w:eastAsia="方正仿宋_GBK"/>
          <w:kern w:val="0"/>
          <w:sz w:val="32"/>
          <w:szCs w:val="32"/>
        </w:rPr>
      </w:pPr>
    </w:p>
    <w:p>
      <w:pPr>
        <w:autoSpaceDE w:val="0"/>
        <w:autoSpaceDN w:val="0"/>
        <w:adjustRightInd w:val="0"/>
        <w:snapToGrid w:val="0"/>
        <w:spacing w:line="594" w:lineRule="exact"/>
        <w:ind w:firstLine="640" w:firstLineChars="200"/>
        <w:jc w:val="center"/>
        <w:rPr>
          <w:rFonts w:ascii="Times New Roman" w:hAnsi="Times New Roman" w:eastAsia="方正仿宋_GBK"/>
          <w:kern w:val="0"/>
          <w:sz w:val="32"/>
          <w:szCs w:val="32"/>
        </w:rPr>
      </w:pPr>
    </w:p>
    <w:p>
      <w:pPr>
        <w:autoSpaceDE w:val="0"/>
        <w:autoSpaceDN w:val="0"/>
        <w:adjustRightInd w:val="0"/>
        <w:snapToGrid w:val="0"/>
        <w:spacing w:line="594" w:lineRule="exact"/>
        <w:ind w:firstLine="640" w:firstLineChars="200"/>
        <w:rPr>
          <w:rFonts w:ascii="Times New Roman" w:hAnsi="Times New Roman" w:eastAsia="方正仿宋_GBK"/>
          <w:kern w:val="0"/>
          <w:sz w:val="32"/>
          <w:szCs w:val="32"/>
        </w:rPr>
      </w:pPr>
    </w:p>
    <w:p>
      <w:pPr>
        <w:spacing w:line="594" w:lineRule="exact"/>
        <w:ind w:firstLine="640" w:firstLineChars="200"/>
        <w:rPr>
          <w:rFonts w:ascii="Times New Roman" w:hAnsi="Times New Roman" w:eastAsia="方正仿宋_GBK"/>
          <w:sz w:val="32"/>
          <w:szCs w:val="32"/>
        </w:rPr>
      </w:pPr>
    </w:p>
    <w:p>
      <w:pPr>
        <w:pStyle w:val="2"/>
        <w:ind w:firstLine="880"/>
        <w:rPr>
          <w:rFonts w:ascii="Times New Roman" w:hAnsi="Times New Roman"/>
        </w:rPr>
      </w:pPr>
    </w:p>
    <w:p>
      <w:pPr>
        <w:pStyle w:val="2"/>
        <w:ind w:firstLine="880"/>
        <w:rPr>
          <w:rFonts w:ascii="Times New Roman" w:hAnsi="Times New Roman"/>
        </w:rPr>
      </w:pPr>
    </w:p>
    <w:p>
      <w:pPr>
        <w:pStyle w:val="2"/>
        <w:ind w:firstLine="880"/>
        <w:rPr>
          <w:rFonts w:ascii="Times New Roman" w:hAnsi="Times New Roman"/>
        </w:rPr>
      </w:pPr>
    </w:p>
    <w:p>
      <w:pPr>
        <w:pStyle w:val="2"/>
        <w:ind w:firstLine="880"/>
        <w:rPr>
          <w:rFonts w:ascii="Times New Roman" w:hAnsi="Times New Roman"/>
        </w:rPr>
      </w:pPr>
    </w:p>
    <w:p>
      <w:pPr>
        <w:spacing w:line="594" w:lineRule="exact"/>
        <w:jc w:val="center"/>
        <w:rPr>
          <w:rFonts w:ascii="Times New Roman" w:hAnsi="Times New Roman" w:eastAsia="方正仿宋_GBK"/>
          <w:b/>
          <w:bCs/>
          <w:color w:val="000000"/>
          <w:kern w:val="0"/>
          <w:sz w:val="32"/>
          <w:szCs w:val="32"/>
        </w:rPr>
      </w:pPr>
      <w:r>
        <w:rPr>
          <w:rFonts w:ascii="Times New Roman" w:hAnsi="Times New Roman" w:eastAsia="方正仿宋_GBK"/>
          <w:sz w:val="32"/>
          <w:szCs w:val="32"/>
        </w:rPr>
        <w:t>二〇二三年十二月</w:t>
      </w:r>
      <w:bookmarkEnd w:id="0"/>
      <w:bookmarkEnd w:id="1"/>
      <w:bookmarkEnd w:id="2"/>
      <w:bookmarkEnd w:id="3"/>
      <w:bookmarkEnd w:id="4"/>
      <w:bookmarkEnd w:id="5"/>
      <w:bookmarkEnd w:id="6"/>
      <w:bookmarkEnd w:id="7"/>
      <w:bookmarkEnd w:id="8"/>
    </w:p>
    <w:p>
      <w:pPr>
        <w:pStyle w:val="2"/>
        <w:ind w:firstLine="880"/>
        <w:jc w:val="center"/>
        <w:rPr>
          <w:rFonts w:ascii="Times New Roman" w:hAnsi="Times New Roman"/>
        </w:rPr>
      </w:pPr>
    </w:p>
    <w:p>
      <w:pPr>
        <w:widowControl/>
        <w:jc w:val="left"/>
        <w:rPr>
          <w:rFonts w:ascii="Times New Roman" w:hAnsi="Times New Roman"/>
          <w:sz w:val="44"/>
        </w:rPr>
      </w:pPr>
      <w:r>
        <w:rPr>
          <w:rFonts w:ascii="Times New Roman" w:hAnsi="Times New Roman"/>
        </w:rPr>
        <w:br w:type="page"/>
      </w:r>
    </w:p>
    <w:p>
      <w:pPr>
        <w:widowControl/>
        <w:spacing w:line="594"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bCs/>
          <w:color w:val="000000"/>
          <w:kern w:val="0"/>
          <w:sz w:val="32"/>
          <w:szCs w:val="32"/>
        </w:rPr>
        <w:t>一、</w:t>
      </w:r>
      <w:r>
        <w:rPr>
          <w:rFonts w:hint="eastAsia" w:ascii="方正黑体_GBK" w:hAnsi="Times New Roman" w:eastAsia="方正黑体_GBK"/>
          <w:sz w:val="32"/>
          <w:szCs w:val="32"/>
        </w:rPr>
        <w:t>招标项目内容</w:t>
      </w:r>
    </w:p>
    <w:tbl>
      <w:tblPr>
        <w:tblStyle w:val="57"/>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2268"/>
        <w:gridCol w:w="2268"/>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698" w:type="dxa"/>
            <w:vAlign w:val="center"/>
          </w:tcPr>
          <w:p>
            <w:pPr>
              <w:pStyle w:val="3"/>
              <w:spacing w:line="594" w:lineRule="exact"/>
              <w:ind w:left="0"/>
              <w:jc w:val="center"/>
              <w:outlineLvl w:val="0"/>
              <w:rPr>
                <w:rFonts w:ascii="Times New Roman" w:hAnsi="Times New Roman" w:eastAsia="方正仿宋_GBK"/>
                <w:b/>
                <w:sz w:val="32"/>
                <w:szCs w:val="32"/>
              </w:rPr>
            </w:pPr>
            <w:r>
              <w:rPr>
                <w:rFonts w:ascii="Times New Roman" w:hAnsi="Times New Roman" w:eastAsia="方正仿宋_GBK"/>
                <w:b/>
                <w:sz w:val="32"/>
                <w:szCs w:val="32"/>
              </w:rPr>
              <w:t>项目名称</w:t>
            </w:r>
          </w:p>
        </w:tc>
        <w:tc>
          <w:tcPr>
            <w:tcW w:w="2268" w:type="dxa"/>
            <w:vAlign w:val="center"/>
          </w:tcPr>
          <w:p>
            <w:pPr>
              <w:pStyle w:val="3"/>
              <w:spacing w:line="440" w:lineRule="exact"/>
              <w:ind w:left="0"/>
              <w:jc w:val="center"/>
              <w:outlineLvl w:val="0"/>
              <w:rPr>
                <w:rFonts w:ascii="Times New Roman" w:hAnsi="Times New Roman" w:eastAsia="方正仿宋_GBK"/>
                <w:b/>
                <w:sz w:val="32"/>
                <w:szCs w:val="32"/>
              </w:rPr>
            </w:pPr>
            <w:r>
              <w:rPr>
                <w:rFonts w:ascii="Times New Roman" w:hAnsi="Times New Roman" w:eastAsia="方正仿宋_GBK"/>
                <w:b/>
                <w:sz w:val="32"/>
                <w:szCs w:val="32"/>
              </w:rPr>
              <w:t>最高限价</w:t>
            </w:r>
            <w:r>
              <w:rPr>
                <w:rFonts w:hint="eastAsia" w:ascii="Times New Roman" w:hAnsi="Times New Roman" w:eastAsia="方正仿宋_GBK"/>
                <w:b/>
                <w:sz w:val="32"/>
                <w:szCs w:val="32"/>
              </w:rPr>
              <w:br w:type="textWrapping"/>
            </w:r>
            <w:r>
              <w:rPr>
                <w:rFonts w:ascii="Times New Roman" w:hAnsi="Times New Roman" w:eastAsia="方正仿宋_GBK"/>
                <w:b/>
                <w:sz w:val="32"/>
                <w:szCs w:val="32"/>
              </w:rPr>
              <w:t>（万元）</w:t>
            </w:r>
          </w:p>
        </w:tc>
        <w:tc>
          <w:tcPr>
            <w:tcW w:w="2268" w:type="dxa"/>
            <w:vAlign w:val="center"/>
          </w:tcPr>
          <w:p>
            <w:pPr>
              <w:pStyle w:val="3"/>
              <w:spacing w:line="440" w:lineRule="exact"/>
              <w:ind w:left="0"/>
              <w:jc w:val="center"/>
              <w:outlineLvl w:val="0"/>
              <w:rPr>
                <w:rFonts w:ascii="Times New Roman" w:hAnsi="Times New Roman" w:eastAsia="方正仿宋_GBK"/>
                <w:b/>
                <w:sz w:val="32"/>
                <w:szCs w:val="32"/>
              </w:rPr>
            </w:pPr>
            <w:r>
              <w:rPr>
                <w:rFonts w:ascii="Times New Roman" w:hAnsi="Times New Roman" w:eastAsia="方正仿宋_GBK"/>
                <w:b/>
                <w:sz w:val="32"/>
                <w:szCs w:val="32"/>
              </w:rPr>
              <w:t>投标保证金</w:t>
            </w:r>
            <w:r>
              <w:rPr>
                <w:rFonts w:hint="eastAsia" w:ascii="Times New Roman" w:hAnsi="Times New Roman" w:eastAsia="方正仿宋_GBK"/>
                <w:b/>
                <w:sz w:val="32"/>
                <w:szCs w:val="32"/>
              </w:rPr>
              <w:br w:type="textWrapping"/>
            </w:r>
            <w:r>
              <w:rPr>
                <w:rFonts w:ascii="Times New Roman" w:hAnsi="Times New Roman" w:eastAsia="方正仿宋_GBK"/>
                <w:b/>
                <w:sz w:val="32"/>
                <w:szCs w:val="32"/>
              </w:rPr>
              <w:t>（万元）</w:t>
            </w:r>
          </w:p>
        </w:tc>
        <w:tc>
          <w:tcPr>
            <w:tcW w:w="2186" w:type="dxa"/>
            <w:vAlign w:val="center"/>
          </w:tcPr>
          <w:p>
            <w:pPr>
              <w:pStyle w:val="3"/>
              <w:spacing w:line="440" w:lineRule="exact"/>
              <w:ind w:left="0"/>
              <w:jc w:val="center"/>
              <w:outlineLvl w:val="0"/>
              <w:rPr>
                <w:rFonts w:ascii="Times New Roman" w:hAnsi="Times New Roman" w:eastAsia="方正仿宋_GBK"/>
                <w:b/>
                <w:sz w:val="32"/>
                <w:szCs w:val="32"/>
              </w:rPr>
            </w:pPr>
            <w:r>
              <w:rPr>
                <w:rFonts w:ascii="Times New Roman" w:hAnsi="Times New Roman" w:eastAsia="方正仿宋_GBK"/>
                <w:b/>
                <w:sz w:val="32"/>
                <w:szCs w:val="32"/>
              </w:rPr>
              <w:t>中标人数量</w:t>
            </w:r>
            <w:r>
              <w:rPr>
                <w:rFonts w:hint="eastAsia" w:ascii="Times New Roman" w:hAnsi="Times New Roman" w:eastAsia="方正仿宋_GBK"/>
                <w:b/>
                <w:sz w:val="32"/>
                <w:szCs w:val="32"/>
              </w:rPr>
              <w:br w:type="textWrapping"/>
            </w:r>
            <w:r>
              <w:rPr>
                <w:rFonts w:ascii="Times New Roman" w:hAnsi="Times New Roman" w:eastAsia="方正仿宋_GBK"/>
                <w:b/>
                <w:sz w:val="32"/>
                <w:szCs w:val="3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698" w:type="dxa"/>
            <w:vAlign w:val="center"/>
          </w:tcPr>
          <w:p>
            <w:pPr>
              <w:pStyle w:val="17"/>
              <w:spacing w:line="594" w:lineRule="exact"/>
              <w:ind w:firstLine="0"/>
              <w:jc w:val="center"/>
              <w:outlineLvl w:val="0"/>
              <w:rPr>
                <w:rFonts w:ascii="Times New Roman" w:hAnsi="Times New Roman" w:eastAsia="方正仿宋_GBK"/>
                <w:bCs/>
                <w:color w:val="FF0000"/>
                <w:sz w:val="32"/>
                <w:szCs w:val="32"/>
              </w:rPr>
            </w:pPr>
            <w:r>
              <w:rPr>
                <w:rFonts w:ascii="Times New Roman" w:hAnsi="Times New Roman" w:eastAsia="方正仿宋_GBK"/>
                <w:color w:val="000000" w:themeColor="text1"/>
                <w:kern w:val="0"/>
                <w:sz w:val="32"/>
                <w:szCs w:val="32"/>
                <w14:textFill>
                  <w14:solidFill>
                    <w14:schemeClr w14:val="tx1"/>
                  </w14:solidFill>
                </w14:textFill>
              </w:rPr>
              <w:t>医院</w:t>
            </w:r>
            <w:r>
              <w:rPr>
                <w:rFonts w:hint="eastAsia" w:ascii="Times New Roman" w:hAnsi="Times New Roman" w:eastAsia="方正仿宋_GBK"/>
                <w:color w:val="000000" w:themeColor="text1"/>
                <w:kern w:val="0"/>
                <w:sz w:val="32"/>
                <w:szCs w:val="32"/>
                <w14:textFill>
                  <w14:solidFill>
                    <w14:schemeClr w14:val="tx1"/>
                  </w14:solidFill>
                </w14:textFill>
              </w:rPr>
              <w:t>隔音室设备采购及安装</w:t>
            </w:r>
          </w:p>
        </w:tc>
        <w:tc>
          <w:tcPr>
            <w:tcW w:w="2268" w:type="dxa"/>
            <w:vAlign w:val="center"/>
          </w:tcPr>
          <w:p>
            <w:pPr>
              <w:pStyle w:val="3"/>
              <w:spacing w:line="594" w:lineRule="exact"/>
              <w:ind w:left="0"/>
              <w:jc w:val="center"/>
              <w:outlineLvl w:val="0"/>
              <w:rPr>
                <w:rFonts w:ascii="Times New Roman" w:hAnsi="Times New Roman" w:eastAsia="方正仿宋_GBK"/>
                <w:bCs/>
                <w:color w:val="FF0000"/>
                <w:sz w:val="32"/>
                <w:szCs w:val="32"/>
              </w:rPr>
            </w:pPr>
            <w:r>
              <w:rPr>
                <w:rFonts w:hint="eastAsia" w:ascii="Times New Roman" w:hAnsi="Times New Roman" w:eastAsia="方正仿宋_GBK"/>
                <w:bCs/>
                <w:color w:val="000000" w:themeColor="text1"/>
                <w:sz w:val="32"/>
                <w:szCs w:val="32"/>
                <w14:textFill>
                  <w14:solidFill>
                    <w14:schemeClr w14:val="tx1"/>
                  </w14:solidFill>
                </w14:textFill>
              </w:rPr>
              <w:t>6</w:t>
            </w:r>
            <w:r>
              <w:rPr>
                <w:rFonts w:ascii="Times New Roman" w:hAnsi="Times New Roman" w:eastAsia="方正仿宋_GBK"/>
                <w:bCs/>
                <w:color w:val="000000" w:themeColor="text1"/>
                <w:sz w:val="32"/>
                <w:szCs w:val="32"/>
                <w14:textFill>
                  <w14:solidFill>
                    <w14:schemeClr w14:val="tx1"/>
                  </w14:solidFill>
                </w14:textFill>
              </w:rPr>
              <w:t>.</w:t>
            </w:r>
            <w:r>
              <w:rPr>
                <w:rFonts w:hint="eastAsia" w:ascii="Times New Roman" w:hAnsi="Times New Roman" w:eastAsia="方正仿宋_GBK"/>
                <w:bCs/>
                <w:color w:val="000000" w:themeColor="text1"/>
                <w:sz w:val="32"/>
                <w:szCs w:val="32"/>
                <w14:textFill>
                  <w14:solidFill>
                    <w14:schemeClr w14:val="tx1"/>
                  </w14:solidFill>
                </w14:textFill>
              </w:rPr>
              <w:t>4</w:t>
            </w:r>
            <w:r>
              <w:rPr>
                <w:rFonts w:ascii="Times New Roman" w:hAnsi="Times New Roman" w:eastAsia="方正仿宋_GBK"/>
                <w:bCs/>
                <w:color w:val="000000" w:themeColor="text1"/>
                <w:sz w:val="32"/>
                <w:szCs w:val="32"/>
                <w14:textFill>
                  <w14:solidFill>
                    <w14:schemeClr w14:val="tx1"/>
                  </w14:solidFill>
                </w14:textFill>
              </w:rPr>
              <w:t>0</w:t>
            </w:r>
          </w:p>
        </w:tc>
        <w:tc>
          <w:tcPr>
            <w:tcW w:w="2268" w:type="dxa"/>
            <w:vAlign w:val="center"/>
          </w:tcPr>
          <w:p>
            <w:pPr>
              <w:pStyle w:val="3"/>
              <w:spacing w:line="594" w:lineRule="exact"/>
              <w:ind w:left="0"/>
              <w:jc w:val="center"/>
              <w:outlineLvl w:val="0"/>
              <w:rPr>
                <w:rFonts w:ascii="Times New Roman" w:hAnsi="Times New Roman" w:eastAsia="方正仿宋_GBK"/>
                <w:bCs/>
                <w:color w:val="FF0000"/>
                <w:sz w:val="32"/>
                <w:szCs w:val="32"/>
              </w:rPr>
            </w:pPr>
            <w:r>
              <w:rPr>
                <w:rFonts w:hint="eastAsia" w:ascii="Times New Roman" w:hAnsi="Times New Roman" w:eastAsia="方正仿宋_GBK"/>
                <w:bCs/>
                <w:color w:val="000000" w:themeColor="text1"/>
                <w:sz w:val="32"/>
                <w:szCs w:val="32"/>
                <w14:textFill>
                  <w14:solidFill>
                    <w14:schemeClr w14:val="tx1"/>
                  </w14:solidFill>
                </w14:textFill>
              </w:rPr>
              <w:t>0.128</w:t>
            </w:r>
          </w:p>
        </w:tc>
        <w:tc>
          <w:tcPr>
            <w:tcW w:w="2186" w:type="dxa"/>
            <w:vAlign w:val="center"/>
          </w:tcPr>
          <w:p>
            <w:pPr>
              <w:pStyle w:val="17"/>
              <w:spacing w:line="594" w:lineRule="exact"/>
              <w:ind w:firstLine="0"/>
              <w:jc w:val="center"/>
              <w:outlineLvl w:val="0"/>
              <w:rPr>
                <w:rFonts w:ascii="Times New Roman" w:hAnsi="Times New Roman" w:eastAsia="方正仿宋_GBK"/>
                <w:bCs/>
                <w:color w:val="FF0000"/>
                <w:sz w:val="32"/>
                <w:szCs w:val="32"/>
              </w:rPr>
            </w:pPr>
            <w:r>
              <w:rPr>
                <w:rFonts w:ascii="Times New Roman" w:hAnsi="Times New Roman" w:eastAsia="方正仿宋_GBK"/>
                <w:bCs/>
                <w:color w:val="000000" w:themeColor="text1"/>
                <w:sz w:val="32"/>
                <w:szCs w:val="32"/>
                <w14:textFill>
                  <w14:solidFill>
                    <w14:schemeClr w14:val="tx1"/>
                  </w14:solidFill>
                </w14:textFill>
              </w:rPr>
              <w:t>1</w:t>
            </w:r>
          </w:p>
        </w:tc>
      </w:tr>
    </w:tbl>
    <w:p>
      <w:pPr>
        <w:widowControl/>
        <w:spacing w:line="594" w:lineRule="exact"/>
        <w:ind w:firstLine="640" w:firstLineChars="200"/>
        <w:jc w:val="left"/>
        <w:rPr>
          <w:rFonts w:ascii="方正黑体_GBK" w:hAnsi="Times New Roman" w:eastAsia="方正黑体_GBK"/>
          <w:bCs/>
          <w:color w:val="000000"/>
          <w:kern w:val="0"/>
          <w:sz w:val="32"/>
          <w:szCs w:val="32"/>
        </w:rPr>
      </w:pPr>
      <w:bookmarkStart w:id="9" w:name="_Toc106034622"/>
      <w:bookmarkStart w:id="10" w:name="_Toc27028"/>
      <w:bookmarkStart w:id="11" w:name="_Toc3256"/>
      <w:bookmarkStart w:id="12" w:name="_Toc65660331"/>
      <w:r>
        <w:rPr>
          <w:rFonts w:ascii="方正黑体_GBK" w:hAnsi="Times New Roman" w:eastAsia="方正黑体_GBK"/>
          <w:bCs/>
          <w:color w:val="000000"/>
          <w:kern w:val="0"/>
          <w:sz w:val="32"/>
          <w:szCs w:val="32"/>
        </w:rPr>
        <w:t>二、资金来源</w:t>
      </w:r>
      <w:bookmarkEnd w:id="9"/>
      <w:bookmarkEnd w:id="10"/>
      <w:bookmarkEnd w:id="11"/>
      <w:bookmarkEnd w:id="12"/>
    </w:p>
    <w:p>
      <w:pPr>
        <w:pStyle w:val="6"/>
        <w:spacing w:before="0" w:after="0" w:line="594" w:lineRule="exact"/>
        <w:ind w:firstLine="640" w:firstLineChars="200"/>
        <w:jc w:val="left"/>
        <w:rPr>
          <w:rFonts w:ascii="Times New Roman" w:hAnsi="Times New Roman" w:eastAsia="方正仿宋_GBK"/>
          <w:b w:val="0"/>
          <w:color w:val="000000"/>
          <w:kern w:val="0"/>
          <w:szCs w:val="32"/>
        </w:rPr>
      </w:pPr>
      <w:r>
        <w:rPr>
          <w:rFonts w:ascii="Times New Roman" w:hAnsi="Times New Roman" w:eastAsia="方正仿宋_GBK"/>
          <w:b w:val="0"/>
          <w:color w:val="000000"/>
          <w:kern w:val="0"/>
          <w:szCs w:val="32"/>
        </w:rPr>
        <w:t>单位自筹资金，采购预算金额为</w:t>
      </w:r>
      <w:r>
        <w:rPr>
          <w:rFonts w:hint="eastAsia" w:ascii="Times New Roman" w:hAnsi="Times New Roman" w:eastAsia="方正仿宋_GBK"/>
          <w:b w:val="0"/>
          <w:color w:val="000000" w:themeColor="text1"/>
          <w:kern w:val="0"/>
          <w:szCs w:val="32"/>
          <w14:textFill>
            <w14:solidFill>
              <w14:schemeClr w14:val="tx1"/>
            </w14:solidFill>
          </w14:textFill>
        </w:rPr>
        <w:t>6.4</w:t>
      </w:r>
      <w:r>
        <w:rPr>
          <w:rFonts w:ascii="Times New Roman" w:hAnsi="Times New Roman" w:eastAsia="方正仿宋_GBK"/>
          <w:b w:val="0"/>
          <w:color w:val="000000" w:themeColor="text1"/>
          <w:kern w:val="0"/>
          <w:szCs w:val="32"/>
          <w14:textFill>
            <w14:solidFill>
              <w14:schemeClr w14:val="tx1"/>
            </w14:solidFill>
          </w14:textFill>
        </w:rPr>
        <w:t>0</w:t>
      </w:r>
      <w:r>
        <w:rPr>
          <w:rFonts w:hint="eastAsia" w:ascii="Times New Roman" w:hAnsi="Times New Roman" w:eastAsia="方正仿宋_GBK"/>
          <w:b w:val="0"/>
          <w:color w:val="000000" w:themeColor="text1"/>
          <w:kern w:val="0"/>
          <w:szCs w:val="32"/>
          <w14:textFill>
            <w14:solidFill>
              <w14:schemeClr w14:val="tx1"/>
            </w14:solidFill>
          </w14:textFill>
        </w:rPr>
        <w:t>万</w:t>
      </w:r>
      <w:r>
        <w:rPr>
          <w:rFonts w:ascii="Times New Roman" w:hAnsi="Times New Roman" w:eastAsia="方正仿宋_GBK"/>
          <w:b w:val="0"/>
          <w:color w:val="000000" w:themeColor="text1"/>
          <w:kern w:val="0"/>
          <w:szCs w:val="32"/>
          <w14:textFill>
            <w14:solidFill>
              <w14:schemeClr w14:val="tx1"/>
            </w14:solidFill>
          </w14:textFill>
        </w:rPr>
        <w:t>元</w:t>
      </w:r>
      <w:r>
        <w:rPr>
          <w:rFonts w:ascii="Times New Roman" w:hAnsi="Times New Roman" w:eastAsia="方正仿宋_GBK"/>
          <w:b w:val="0"/>
          <w:color w:val="000000"/>
          <w:kern w:val="0"/>
          <w:szCs w:val="32"/>
        </w:rPr>
        <w:t>。</w:t>
      </w:r>
    </w:p>
    <w:p>
      <w:pPr>
        <w:widowControl/>
        <w:spacing w:line="594" w:lineRule="exact"/>
        <w:ind w:firstLine="640" w:firstLineChars="200"/>
        <w:jc w:val="left"/>
        <w:rPr>
          <w:rFonts w:ascii="方正黑体_GBK" w:hAnsi="Times New Roman" w:eastAsia="方正黑体_GBK"/>
          <w:bCs/>
          <w:color w:val="000000"/>
          <w:kern w:val="0"/>
          <w:sz w:val="32"/>
          <w:szCs w:val="32"/>
        </w:rPr>
      </w:pPr>
      <w:r>
        <w:rPr>
          <w:rFonts w:ascii="方正黑体_GBK" w:hAnsi="Times New Roman" w:eastAsia="方正黑体_GBK"/>
          <w:bCs/>
          <w:color w:val="000000"/>
          <w:kern w:val="0"/>
          <w:sz w:val="32"/>
          <w:szCs w:val="32"/>
        </w:rPr>
        <w:t>三、供应商资格条件</w:t>
      </w:r>
    </w:p>
    <w:p>
      <w:pPr>
        <w:pStyle w:val="24"/>
        <w:keepLines/>
        <w:spacing w:line="594" w:lineRule="exact"/>
        <w:ind w:firstLine="640" w:firstLineChars="200"/>
        <w:jc w:val="left"/>
        <w:rPr>
          <w:rFonts w:ascii="Times New Roman" w:hAnsi="Times New Roman" w:eastAsia="方正仿宋_GBK"/>
          <w:szCs w:val="32"/>
        </w:rPr>
      </w:pPr>
      <w:r>
        <w:rPr>
          <w:rFonts w:ascii="Times New Roman" w:hAnsi="Times New Roman" w:eastAsia="方正仿宋_GBK"/>
          <w:szCs w:val="32"/>
        </w:rPr>
        <w:t>（一）满足《中华人民共和国政府采购法》第二十二条规定：</w:t>
      </w:r>
    </w:p>
    <w:p>
      <w:pPr>
        <w:pStyle w:val="24"/>
        <w:keepLines/>
        <w:spacing w:line="594" w:lineRule="exact"/>
        <w:ind w:firstLine="640" w:firstLineChars="200"/>
        <w:jc w:val="left"/>
        <w:rPr>
          <w:rFonts w:ascii="Times New Roman" w:hAnsi="Times New Roman" w:eastAsia="方正仿宋_GBK"/>
          <w:szCs w:val="32"/>
        </w:rPr>
      </w:pPr>
      <w:r>
        <w:rPr>
          <w:rFonts w:ascii="Times New Roman" w:hAnsi="Times New Roman" w:eastAsia="方正仿宋_GBK"/>
          <w:szCs w:val="32"/>
        </w:rPr>
        <w:t>1、具有独立承担民事责任的能力；</w:t>
      </w:r>
    </w:p>
    <w:p>
      <w:pPr>
        <w:pStyle w:val="24"/>
        <w:keepLines/>
        <w:spacing w:line="594" w:lineRule="exact"/>
        <w:ind w:firstLine="640" w:firstLineChars="200"/>
        <w:jc w:val="left"/>
        <w:rPr>
          <w:rFonts w:ascii="Times New Roman" w:hAnsi="Times New Roman" w:eastAsia="方正仿宋_GBK"/>
          <w:szCs w:val="32"/>
        </w:rPr>
      </w:pPr>
      <w:r>
        <w:rPr>
          <w:rFonts w:ascii="Times New Roman" w:hAnsi="Times New Roman" w:eastAsia="方正仿宋_GBK"/>
          <w:szCs w:val="32"/>
        </w:rPr>
        <w:t>2、具有良好的商业信誉和健全的财务会计制度；</w:t>
      </w:r>
    </w:p>
    <w:p>
      <w:pPr>
        <w:pStyle w:val="24"/>
        <w:keepLines/>
        <w:spacing w:line="594" w:lineRule="exact"/>
        <w:ind w:firstLine="640" w:firstLineChars="200"/>
        <w:jc w:val="left"/>
        <w:rPr>
          <w:rFonts w:ascii="Times New Roman" w:hAnsi="Times New Roman" w:eastAsia="方正仿宋_GBK"/>
          <w:szCs w:val="32"/>
        </w:rPr>
      </w:pPr>
      <w:r>
        <w:rPr>
          <w:rFonts w:ascii="Times New Roman" w:hAnsi="Times New Roman" w:eastAsia="方正仿宋_GBK"/>
          <w:szCs w:val="32"/>
        </w:rPr>
        <w:t>3、具有履行合同所必需的设备和专业技术能力；</w:t>
      </w:r>
    </w:p>
    <w:p>
      <w:pPr>
        <w:pStyle w:val="24"/>
        <w:keepLines/>
        <w:spacing w:line="594" w:lineRule="exact"/>
        <w:ind w:firstLine="640" w:firstLineChars="200"/>
        <w:jc w:val="left"/>
        <w:rPr>
          <w:rFonts w:ascii="Times New Roman" w:hAnsi="Times New Roman" w:eastAsia="方正仿宋_GBK"/>
          <w:szCs w:val="32"/>
        </w:rPr>
      </w:pPr>
      <w:r>
        <w:rPr>
          <w:rFonts w:ascii="Times New Roman" w:hAnsi="Times New Roman" w:eastAsia="方正仿宋_GBK"/>
          <w:szCs w:val="32"/>
        </w:rPr>
        <w:t>4、有依法缴纳税收和社会保障资金的良好记录；</w:t>
      </w:r>
    </w:p>
    <w:p>
      <w:pPr>
        <w:pStyle w:val="24"/>
        <w:keepLines/>
        <w:spacing w:line="594" w:lineRule="exact"/>
        <w:ind w:firstLine="640" w:firstLineChars="200"/>
        <w:jc w:val="left"/>
        <w:rPr>
          <w:rFonts w:ascii="Times New Roman" w:hAnsi="Times New Roman" w:eastAsia="方正仿宋_GBK"/>
          <w:szCs w:val="32"/>
        </w:rPr>
      </w:pPr>
      <w:r>
        <w:rPr>
          <w:rFonts w:ascii="Times New Roman" w:hAnsi="Times New Roman" w:eastAsia="方正仿宋_GBK"/>
          <w:szCs w:val="32"/>
        </w:rPr>
        <w:t>5、参加政府采购活动前三年内，在经营活动中没有重大违法记录；</w:t>
      </w:r>
    </w:p>
    <w:p>
      <w:pPr>
        <w:pStyle w:val="24"/>
        <w:keepLines/>
        <w:spacing w:line="594" w:lineRule="exact"/>
        <w:ind w:firstLine="640" w:firstLineChars="200"/>
        <w:jc w:val="left"/>
        <w:rPr>
          <w:rFonts w:ascii="Times New Roman" w:hAnsi="Times New Roman" w:eastAsia="方正仿宋_GBK"/>
          <w:szCs w:val="32"/>
        </w:rPr>
      </w:pPr>
      <w:r>
        <w:rPr>
          <w:rFonts w:ascii="Times New Roman" w:hAnsi="Times New Roman" w:eastAsia="方正仿宋_GBK"/>
          <w:szCs w:val="32"/>
        </w:rPr>
        <w:t>6、法律、行政法规规定的其他条件。</w:t>
      </w:r>
    </w:p>
    <w:p>
      <w:pPr>
        <w:widowControl/>
        <w:spacing w:line="594" w:lineRule="exact"/>
        <w:ind w:firstLine="640" w:firstLineChars="200"/>
        <w:jc w:val="left"/>
        <w:rPr>
          <w:rFonts w:ascii="方正黑体_GBK" w:hAnsi="Times New Roman" w:eastAsia="方正黑体_GBK"/>
          <w:bCs/>
          <w:color w:val="000000"/>
          <w:kern w:val="0"/>
          <w:sz w:val="32"/>
          <w:szCs w:val="32"/>
        </w:rPr>
      </w:pPr>
      <w:bookmarkStart w:id="13" w:name="_Toc109810330"/>
      <w:bookmarkStart w:id="14" w:name="_Toc21560"/>
      <w:r>
        <w:rPr>
          <w:rFonts w:ascii="方正黑体_GBK" w:hAnsi="Times New Roman" w:eastAsia="方正黑体_GBK"/>
          <w:bCs/>
          <w:color w:val="000000"/>
          <w:kern w:val="0"/>
          <w:sz w:val="32"/>
          <w:szCs w:val="32"/>
        </w:rPr>
        <w:t>四、投标、开标有关说明</w:t>
      </w:r>
      <w:bookmarkEnd w:id="13"/>
      <w:bookmarkEnd w:id="14"/>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（一）凡有意参加投标的投标人，请在重庆市中医骨科医院官网下载本项目招标文件以及图纸、澄清等开标前公布的所有项目资料，无论投标人领取或下载与否，均视为已知晓所有招标内容。</w:t>
      </w:r>
    </w:p>
    <w:p>
      <w:pPr>
        <w:spacing w:line="594" w:lineRule="exact"/>
        <w:ind w:firstLine="640" w:firstLineChars="200"/>
        <w:jc w:val="left"/>
        <w:rPr>
          <w:rFonts w:ascii="Times New Roman" w:hAnsi="Times New Roman" w:eastAsia="方正仿宋_GBK"/>
          <w:color w:val="FF0000"/>
          <w:sz w:val="32"/>
          <w:szCs w:val="32"/>
        </w:rPr>
      </w:pPr>
      <w:r>
        <w:rPr>
          <w:rFonts w:ascii="Times New Roman" w:hAnsi="Times New Roman" w:eastAsia="方正仿宋_GBK"/>
          <w:color w:val="000000" w:themeColor="text1"/>
          <w:sz w:val="32"/>
          <w:szCs w:val="32"/>
          <w14:textFill>
            <w14:solidFill>
              <w14:schemeClr w14:val="tx1"/>
            </w14:solidFill>
          </w14:textFill>
        </w:rPr>
        <w:t>（二）招标文件公告期限：</w:t>
      </w:r>
      <w:r>
        <w:rPr>
          <w:rFonts w:ascii="Times New Roman" w:hAnsi="Times New Roman" w:eastAsia="方正仿宋_GBK"/>
          <w:sz w:val="32"/>
          <w:szCs w:val="32"/>
        </w:rPr>
        <w:t>2023年</w:t>
      </w:r>
      <w:r>
        <w:rPr>
          <w:rFonts w:hint="eastAsia" w:ascii="Times New Roman" w:hAnsi="Times New Roman" w:eastAsia="方正仿宋_GBK"/>
          <w:sz w:val="32"/>
          <w:szCs w:val="32"/>
        </w:rPr>
        <w:t>12</w:t>
      </w:r>
      <w:r>
        <w:rPr>
          <w:rFonts w:ascii="Times New Roman" w:hAnsi="Times New Roman" w:eastAsia="方正仿宋_GBK"/>
          <w:sz w:val="32"/>
          <w:szCs w:val="32"/>
        </w:rPr>
        <w:t>月</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日</w:t>
      </w:r>
      <w:r>
        <w:rPr>
          <w:rFonts w:hint="eastAsia" w:ascii="Times New Roman" w:hAnsi="Times New Roman" w:eastAsia="方正仿宋_GBK"/>
          <w:sz w:val="32"/>
          <w:szCs w:val="32"/>
          <w:lang w:val="en-US" w:eastAsia="zh-CN"/>
        </w:rPr>
        <w:t>08</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0-2023年</w:t>
      </w:r>
      <w:r>
        <w:rPr>
          <w:rFonts w:hint="eastAsia" w:ascii="Times New Roman" w:hAnsi="Times New Roman" w:eastAsia="方正仿宋_GBK"/>
          <w:sz w:val="32"/>
          <w:szCs w:val="32"/>
        </w:rPr>
        <w:t>12</w:t>
      </w:r>
      <w:r>
        <w:rPr>
          <w:rFonts w:ascii="Times New Roman" w:hAnsi="Times New Roman" w:eastAsia="方正仿宋_GBK"/>
          <w:sz w:val="32"/>
          <w:szCs w:val="32"/>
        </w:rPr>
        <w:t>月</w:t>
      </w:r>
      <w:r>
        <w:rPr>
          <w:rFonts w:hint="eastAsia" w:ascii="Times New Roman" w:hAnsi="Times New Roman" w:eastAsia="方正仿宋_GBK"/>
          <w:sz w:val="32"/>
          <w:szCs w:val="32"/>
        </w:rPr>
        <w:t>25</w:t>
      </w:r>
      <w:r>
        <w:rPr>
          <w:rFonts w:ascii="Times New Roman" w:hAnsi="Times New Roman" w:eastAsia="方正仿宋_GBK"/>
          <w:sz w:val="32"/>
          <w:szCs w:val="32"/>
        </w:rPr>
        <w:t>日</w:t>
      </w:r>
      <w:r>
        <w:rPr>
          <w:rFonts w:hint="eastAsia" w:ascii="Times New Roman" w:hAnsi="Times New Roman" w:eastAsia="方正仿宋_GBK"/>
          <w:sz w:val="32"/>
          <w:szCs w:val="32"/>
          <w:lang w:val="en-US" w:eastAsia="zh-CN"/>
        </w:rPr>
        <w:t>17</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0</w:t>
      </w:r>
      <w:r>
        <w:rPr>
          <w:rFonts w:ascii="Times New Roman" w:hAnsi="Times New Roman" w:eastAsia="方正仿宋_GBK"/>
          <w:color w:val="FF0000"/>
          <w:sz w:val="32"/>
          <w:szCs w:val="32"/>
        </w:rPr>
        <w:t xml:space="preserve"> </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（三）供应商须满足以下三种要件，其投标才被接受：</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1、按时足额缴纳投标保证金（递交文件时同时提交保证金转账银行回单）；</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2、按时递交了投标文件；</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3、按时报名签到。</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（四）投标文件要求</w:t>
      </w:r>
    </w:p>
    <w:p>
      <w:pPr>
        <w:pStyle w:val="2"/>
        <w:spacing w:after="0" w:line="594" w:lineRule="exact"/>
        <w:ind w:left="0" w:leftChars="0" w:firstLine="640"/>
        <w:jc w:val="left"/>
        <w:rPr>
          <w:rFonts w:ascii="Times New Roman" w:hAnsi="Times New Roman" w:eastAsia="方正仿宋_GBK"/>
          <w:sz w:val="32"/>
          <w:szCs w:val="32"/>
        </w:rPr>
      </w:pPr>
      <w:r>
        <w:rPr>
          <w:rFonts w:ascii="Times New Roman" w:hAnsi="Times New Roman" w:eastAsia="方正仿宋_GBK"/>
          <w:sz w:val="32"/>
          <w:szCs w:val="32"/>
        </w:rPr>
        <w:t>1、投标文件必须密封并在外包装上加盖公章</w:t>
      </w:r>
    </w:p>
    <w:p>
      <w:pPr>
        <w:pStyle w:val="2"/>
        <w:spacing w:after="0" w:line="594" w:lineRule="exact"/>
        <w:ind w:left="0" w:leftChars="0" w:firstLine="640"/>
        <w:jc w:val="left"/>
        <w:rPr>
          <w:rFonts w:ascii="Times New Roman" w:hAnsi="Times New Roman" w:eastAsia="方正仿宋_GBK"/>
          <w:sz w:val="32"/>
          <w:szCs w:val="32"/>
        </w:rPr>
      </w:pPr>
      <w:r>
        <w:rPr>
          <w:rFonts w:ascii="Times New Roman" w:hAnsi="Times New Roman" w:eastAsia="方正仿宋_GBK"/>
          <w:sz w:val="32"/>
          <w:szCs w:val="32"/>
        </w:rPr>
        <w:t>2、投标文件构成</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（1）投标一览表；</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（2）法定代表人身份证明书；</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（3）法定代表人授权委托书；</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（4）诚信声明；</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（5）营业执照（复印件，盖鲜章）；</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（6）技术方案</w:t>
      </w:r>
      <w:r>
        <w:rPr>
          <w:rFonts w:hint="eastAsia" w:ascii="Times New Roman" w:hAnsi="Times New Roman" w:eastAsia="方正仿宋_GBK"/>
          <w:sz w:val="32"/>
          <w:szCs w:val="32"/>
        </w:rPr>
        <w:t>及其他资料</w:t>
      </w:r>
    </w:p>
    <w:p>
      <w:pPr>
        <w:tabs>
          <w:tab w:val="left" w:pos="0"/>
        </w:tabs>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3、投标文件一式</w:t>
      </w:r>
      <w:r>
        <w:rPr>
          <w:rFonts w:hint="eastAsia" w:ascii="Times New Roman" w:hAnsi="Times New Roman" w:eastAsia="方正仿宋_GBK"/>
          <w:color w:val="000000" w:themeColor="text1"/>
          <w:sz w:val="32"/>
          <w:szCs w:val="32"/>
          <w14:textFill>
            <w14:solidFill>
              <w14:schemeClr w14:val="tx1"/>
            </w14:solidFill>
          </w14:textFill>
        </w:rPr>
        <w:t>二</w:t>
      </w:r>
      <w:r>
        <w:rPr>
          <w:rFonts w:ascii="Times New Roman" w:hAnsi="Times New Roman" w:eastAsia="方正仿宋_GBK"/>
          <w:color w:val="000000" w:themeColor="text1"/>
          <w:sz w:val="32"/>
          <w:szCs w:val="32"/>
          <w14:textFill>
            <w14:solidFill>
              <w14:schemeClr w14:val="tx1"/>
            </w14:solidFill>
          </w14:textFill>
        </w:rPr>
        <w:t>份，其中正本一份，副本</w:t>
      </w:r>
      <w:r>
        <w:rPr>
          <w:rFonts w:hint="eastAsia" w:ascii="Times New Roman" w:hAnsi="Times New Roman" w:eastAsia="方正仿宋_GBK"/>
          <w:color w:val="000000" w:themeColor="text1"/>
          <w:sz w:val="32"/>
          <w:szCs w:val="32"/>
          <w14:textFill>
            <w14:solidFill>
              <w14:schemeClr w14:val="tx1"/>
            </w14:solidFill>
          </w14:textFill>
        </w:rPr>
        <w:t>一</w:t>
      </w:r>
      <w:r>
        <w:rPr>
          <w:rFonts w:ascii="Times New Roman" w:hAnsi="Times New Roman" w:eastAsia="方正仿宋_GBK"/>
          <w:color w:val="000000" w:themeColor="text1"/>
          <w:sz w:val="32"/>
          <w:szCs w:val="32"/>
          <w14:textFill>
            <w14:solidFill>
              <w14:schemeClr w14:val="tx1"/>
            </w14:solidFill>
          </w14:textFill>
        </w:rPr>
        <w:t>份。每套投标文件须在封面清楚地标明“正本”、“副本”，副本应为正本的完整复印件，副本与正本不一致时以正本为准。</w:t>
      </w:r>
    </w:p>
    <w:p>
      <w:pPr>
        <w:spacing w:line="594" w:lineRule="exact"/>
        <w:ind w:firstLine="640" w:firstLineChars="200"/>
        <w:jc w:val="left"/>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sz w:val="32"/>
          <w:szCs w:val="32"/>
        </w:rPr>
        <w:t>（五）投标地点：</w:t>
      </w:r>
      <w:r>
        <w:rPr>
          <w:rFonts w:hint="eastAsia" w:ascii="Times New Roman" w:hAnsi="Times New Roman" w:eastAsia="方正仿宋_GBK"/>
          <w:bCs/>
          <w:sz w:val="32"/>
          <w:szCs w:val="32"/>
        </w:rPr>
        <w:t>渝中区富华路19号，重庆市中医骨科医院化龙桥院区B栋102。</w:t>
      </w:r>
    </w:p>
    <w:p>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sz w:val="32"/>
          <w:szCs w:val="32"/>
        </w:rPr>
        <w:t>（六</w:t>
      </w:r>
      <w:r>
        <w:rPr>
          <w:rFonts w:ascii="Times New Roman" w:hAnsi="Times New Roman" w:eastAsia="方正仿宋_GBK"/>
          <w:color w:val="000000" w:themeColor="text1"/>
          <w:sz w:val="32"/>
          <w:szCs w:val="32"/>
          <w14:textFill>
            <w14:solidFill>
              <w14:schemeClr w14:val="tx1"/>
            </w14:solidFill>
          </w14:textFill>
        </w:rPr>
        <w:t>）投标截止时间</w:t>
      </w:r>
      <w:r>
        <w:rPr>
          <w:rFonts w:ascii="Times New Roman" w:hAnsi="Times New Roman" w:eastAsia="方正仿宋_GBK"/>
          <w:sz w:val="32"/>
          <w:szCs w:val="32"/>
        </w:rPr>
        <w:t>：2023年</w:t>
      </w:r>
      <w:r>
        <w:rPr>
          <w:rFonts w:hint="eastAsia" w:ascii="Times New Roman" w:hAnsi="Times New Roman" w:eastAsia="方正仿宋_GBK"/>
          <w:sz w:val="32"/>
          <w:szCs w:val="32"/>
        </w:rPr>
        <w:t>12</w:t>
      </w:r>
      <w:r>
        <w:rPr>
          <w:rFonts w:ascii="Times New Roman" w:hAnsi="Times New Roman" w:eastAsia="方正仿宋_GBK"/>
          <w:sz w:val="32"/>
          <w:szCs w:val="32"/>
        </w:rPr>
        <w:t>月</w:t>
      </w:r>
      <w:r>
        <w:rPr>
          <w:rFonts w:hint="eastAsia" w:ascii="Times New Roman" w:hAnsi="Times New Roman" w:eastAsia="方正仿宋_GBK"/>
          <w:sz w:val="32"/>
          <w:szCs w:val="32"/>
        </w:rPr>
        <w:t>25</w:t>
      </w:r>
      <w:r>
        <w:rPr>
          <w:rFonts w:ascii="Times New Roman" w:hAnsi="Times New Roman" w:eastAsia="方正仿宋_GBK"/>
          <w:sz w:val="32"/>
          <w:szCs w:val="32"/>
        </w:rPr>
        <w:t>日北京时间</w:t>
      </w:r>
      <w:r>
        <w:rPr>
          <w:rFonts w:hint="eastAsia" w:ascii="Times New Roman" w:hAnsi="Times New Roman" w:eastAsia="方正仿宋_GBK"/>
          <w:sz w:val="32"/>
          <w:szCs w:val="32"/>
          <w:lang w:val="en-US" w:eastAsia="zh-CN"/>
        </w:rPr>
        <w:t>17</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0。</w:t>
      </w:r>
    </w:p>
    <w:p>
      <w:pPr>
        <w:spacing w:line="594" w:lineRule="exact"/>
        <w:ind w:firstLine="640" w:firstLineChars="200"/>
        <w:jc w:val="left"/>
        <w:rPr>
          <w:rFonts w:ascii="Times New Roman" w:hAnsi="Times New Roman" w:eastAsia="方正仿宋_GBK"/>
          <w:color w:val="FF0000"/>
          <w:sz w:val="32"/>
          <w:szCs w:val="32"/>
        </w:rPr>
      </w:pPr>
      <w:r>
        <w:rPr>
          <w:rFonts w:ascii="Times New Roman" w:hAnsi="Times New Roman" w:eastAsia="方正仿宋_GBK"/>
          <w:sz w:val="32"/>
          <w:szCs w:val="32"/>
        </w:rPr>
        <w:t>（七）投标截止后，我院将组织院内评标，并将比选结果公示在医院官网，对未中标单位不另行告知。</w:t>
      </w:r>
    </w:p>
    <w:p>
      <w:pPr>
        <w:widowControl/>
        <w:spacing w:line="594" w:lineRule="exact"/>
        <w:ind w:firstLine="640" w:firstLineChars="200"/>
        <w:jc w:val="left"/>
        <w:rPr>
          <w:rFonts w:ascii="方正黑体_GBK" w:hAnsi="Times New Roman" w:eastAsia="方正黑体_GBK"/>
          <w:bCs/>
          <w:color w:val="000000"/>
          <w:kern w:val="0"/>
          <w:sz w:val="32"/>
          <w:szCs w:val="32"/>
        </w:rPr>
      </w:pPr>
      <w:bookmarkStart w:id="15" w:name="_Toc5794"/>
      <w:bookmarkStart w:id="16" w:name="_Toc41056795"/>
      <w:bookmarkStart w:id="17" w:name="_Toc109810331"/>
      <w:r>
        <w:rPr>
          <w:rFonts w:ascii="方正黑体_GBK" w:hAnsi="Times New Roman" w:eastAsia="方正黑体_GBK"/>
          <w:bCs/>
          <w:color w:val="000000"/>
          <w:kern w:val="0"/>
          <w:sz w:val="32"/>
          <w:szCs w:val="32"/>
        </w:rPr>
        <w:t>五、投标保证金</w:t>
      </w:r>
      <w:bookmarkEnd w:id="15"/>
      <w:bookmarkEnd w:id="16"/>
      <w:bookmarkEnd w:id="17"/>
    </w:p>
    <w:p>
      <w:pPr>
        <w:spacing w:line="594" w:lineRule="exact"/>
        <w:ind w:firstLine="640" w:firstLineChars="200"/>
        <w:jc w:val="left"/>
        <w:rPr>
          <w:rFonts w:ascii="Times New Roman" w:hAnsi="Times New Roman" w:eastAsia="方正仿宋_GBK"/>
          <w:sz w:val="32"/>
          <w:szCs w:val="32"/>
        </w:rPr>
      </w:pPr>
      <w:bookmarkStart w:id="18" w:name="_Toc109810332"/>
      <w:bookmarkStart w:id="19" w:name="_Toc76649973"/>
      <w:bookmarkStart w:id="20" w:name="_Toc516236270"/>
      <w:bookmarkStart w:id="21" w:name="_Toc493506283"/>
      <w:r>
        <w:rPr>
          <w:rFonts w:ascii="Times New Roman" w:hAnsi="Times New Roman" w:eastAsia="方正仿宋_GBK"/>
          <w:sz w:val="32"/>
          <w:szCs w:val="32"/>
        </w:rPr>
        <w:t>（一）投标保证金递交</w:t>
      </w:r>
    </w:p>
    <w:p>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1、投标人应足额交纳投标保证金（保证金金额详见“一、招标项目内容”），并转账至我院账户，</w:t>
      </w:r>
      <w:r>
        <w:rPr>
          <w:rFonts w:ascii="Times New Roman" w:hAnsi="Times New Roman" w:eastAsia="方正仿宋_GBK"/>
          <w:b/>
          <w:sz w:val="32"/>
          <w:szCs w:val="32"/>
        </w:rPr>
        <w:t>投标保证金的到账截止时间同投标截止时间</w:t>
      </w:r>
      <w:r>
        <w:rPr>
          <w:rFonts w:ascii="Times New Roman" w:hAnsi="Times New Roman" w:eastAsia="方正仿宋_GBK"/>
          <w:sz w:val="32"/>
          <w:szCs w:val="32"/>
        </w:rPr>
        <w:t>。</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投标保证金账户：</w:t>
      </w:r>
    </w:p>
    <w:p>
      <w:pPr>
        <w:pStyle w:val="2"/>
        <w:spacing w:after="0" w:line="594" w:lineRule="exact"/>
        <w:ind w:left="0" w:leftChars="0" w:firstLine="640"/>
        <w:jc w:val="left"/>
        <w:rPr>
          <w:rFonts w:ascii="Times New Roman" w:hAnsi="Times New Roman" w:eastAsia="方正仿宋_GBK"/>
          <w:sz w:val="32"/>
          <w:szCs w:val="32"/>
        </w:rPr>
      </w:pPr>
      <w:r>
        <w:rPr>
          <w:rFonts w:ascii="Times New Roman" w:hAnsi="Times New Roman" w:eastAsia="方正仿宋_GBK"/>
          <w:sz w:val="32"/>
          <w:szCs w:val="32"/>
        </w:rPr>
        <w:t>户  名：重庆市中医骨科医院</w:t>
      </w:r>
    </w:p>
    <w:p>
      <w:pPr>
        <w:pStyle w:val="2"/>
        <w:spacing w:after="0" w:line="594" w:lineRule="exact"/>
        <w:ind w:left="0" w:leftChars="0" w:firstLine="640"/>
        <w:jc w:val="left"/>
        <w:rPr>
          <w:rFonts w:ascii="Times New Roman" w:hAnsi="Times New Roman" w:eastAsia="方正仿宋_GBK"/>
          <w:sz w:val="32"/>
          <w:szCs w:val="32"/>
        </w:rPr>
      </w:pPr>
      <w:r>
        <w:rPr>
          <w:rFonts w:ascii="Times New Roman" w:hAnsi="Times New Roman" w:eastAsia="方正仿宋_GBK"/>
          <w:sz w:val="32"/>
          <w:szCs w:val="32"/>
        </w:rPr>
        <w:t>开户行：</w:t>
      </w:r>
      <w:r>
        <w:rPr>
          <w:rFonts w:hint="eastAsia" w:ascii="Times New Roman" w:hAnsi="Times New Roman" w:eastAsia="方正仿宋_GBK"/>
          <w:sz w:val="32"/>
          <w:szCs w:val="32"/>
        </w:rPr>
        <w:t>中国</w:t>
      </w:r>
      <w:r>
        <w:rPr>
          <w:rFonts w:ascii="Times New Roman" w:hAnsi="Times New Roman" w:eastAsia="方正仿宋_GBK"/>
          <w:spacing w:val="-2"/>
          <w:sz w:val="32"/>
          <w:szCs w:val="32"/>
        </w:rPr>
        <w:t>工商银行较场口支行</w:t>
      </w:r>
    </w:p>
    <w:p>
      <w:pPr>
        <w:pStyle w:val="2"/>
        <w:spacing w:after="0" w:line="594" w:lineRule="exact"/>
        <w:ind w:left="0" w:leftChars="0" w:firstLine="640"/>
        <w:jc w:val="left"/>
        <w:rPr>
          <w:rFonts w:ascii="Times New Roman" w:hAnsi="Times New Roman" w:eastAsia="方正仿宋_GBK"/>
          <w:sz w:val="32"/>
          <w:szCs w:val="32"/>
        </w:rPr>
      </w:pPr>
      <w:r>
        <w:rPr>
          <w:rFonts w:ascii="Times New Roman" w:hAnsi="Times New Roman" w:eastAsia="方正仿宋_GBK"/>
          <w:sz w:val="32"/>
          <w:szCs w:val="32"/>
        </w:rPr>
        <w:t>账户：</w:t>
      </w:r>
      <w:r>
        <w:rPr>
          <w:rFonts w:ascii="Times New Roman" w:hAnsi="Times New Roman" w:eastAsia="方正仿宋_GBK"/>
          <w:spacing w:val="-2"/>
          <w:sz w:val="32"/>
          <w:szCs w:val="32"/>
        </w:rPr>
        <w:t>3100021509006601453</w:t>
      </w:r>
    </w:p>
    <w:p>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2、缴纳投标保证金的单位名称必须与投标单位名称相同，只有按规定交纳投标保证金后，才具备投标资格。</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在招标文件规定的投标保证金截止时间之前，重庆市中医骨科医院账户收到的投标保证金为有效投标保证金。供应商应自行考虑汇入时间风险，如同城汇入、异地汇入、跨行汇入的时间要求。因银行等原因造成的投标保证金入账确认时间延迟，采购人不承担任何责任。</w:t>
      </w:r>
    </w:p>
    <w:p>
      <w:pPr>
        <w:spacing w:line="594" w:lineRule="exact"/>
        <w:ind w:firstLine="643" w:firstLineChars="200"/>
        <w:jc w:val="left"/>
        <w:rPr>
          <w:rFonts w:ascii="Times New Roman" w:hAnsi="Times New Roman" w:eastAsia="方正仿宋_GBK"/>
          <w:b/>
          <w:sz w:val="32"/>
          <w:szCs w:val="32"/>
        </w:rPr>
      </w:pPr>
      <w:r>
        <w:rPr>
          <w:rFonts w:ascii="Times New Roman" w:hAnsi="Times New Roman" w:eastAsia="方正仿宋_GBK"/>
          <w:b/>
          <w:sz w:val="32"/>
          <w:szCs w:val="32"/>
        </w:rPr>
        <w:t>注意事项：未在规定的时间内足额缴纳投标保证金的，投标保证金缴入账号错误的，投标保证金来款账户名称与投标单位名称不一致的，其投标文件将被拒收。</w:t>
      </w:r>
    </w:p>
    <w:p>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（二）投标保证金退还</w:t>
      </w:r>
    </w:p>
    <w:p>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通过转账方式将投标保证金退还到投标人的来款账户。</w:t>
      </w:r>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中标公示结束</w:t>
      </w:r>
      <w:r>
        <w:rPr>
          <w:rFonts w:ascii="Times New Roman" w:hAnsi="Times New Roman" w:eastAsia="方正仿宋_GBK"/>
          <w:color w:val="000000" w:themeColor="text1"/>
          <w:sz w:val="32"/>
          <w:szCs w:val="32"/>
          <w14:textFill>
            <w14:solidFill>
              <w14:schemeClr w14:val="tx1"/>
            </w14:solidFill>
          </w14:textFill>
        </w:rPr>
        <w:t>后五个工作日内退还未中标人的投标保证金；在采购合同签订后，五个工作日退还中标人的投标保证金。按资金来款渠道直接退还。</w:t>
      </w:r>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2、出现流标、废标情况，流标、废标公告发布后三个工作日内向投标人办理保证金退还手续。同一项目采购公告再次发布后，投标人须按规定重新缴纳投标保证金。</w:t>
      </w:r>
    </w:p>
    <w:p>
      <w:pPr>
        <w:widowControl/>
        <w:spacing w:line="594" w:lineRule="exact"/>
        <w:ind w:firstLine="640" w:firstLineChars="200"/>
        <w:jc w:val="left"/>
        <w:rPr>
          <w:rFonts w:ascii="方正黑体_GBK" w:hAnsi="Times New Roman" w:eastAsia="方正黑体_GBK"/>
          <w:bCs/>
          <w:color w:val="000000"/>
          <w:kern w:val="0"/>
          <w:sz w:val="32"/>
          <w:szCs w:val="32"/>
        </w:rPr>
      </w:pPr>
      <w:bookmarkStart w:id="22" w:name="_Toc1856"/>
      <w:bookmarkStart w:id="23" w:name="_Toc516236271"/>
      <w:bookmarkStart w:id="24" w:name="_Toc109810333"/>
      <w:bookmarkStart w:id="25" w:name="_Toc76649974"/>
      <w:r>
        <w:rPr>
          <w:rFonts w:ascii="方正黑体_GBK" w:hAnsi="Times New Roman" w:eastAsia="方正黑体_GBK"/>
          <w:bCs/>
          <w:color w:val="000000"/>
          <w:kern w:val="0"/>
          <w:sz w:val="32"/>
          <w:szCs w:val="32"/>
        </w:rPr>
        <w:t>六、投标有关规定</w:t>
      </w:r>
      <w:bookmarkEnd w:id="22"/>
      <w:bookmarkEnd w:id="23"/>
      <w:bookmarkEnd w:id="24"/>
      <w:bookmarkEnd w:id="25"/>
    </w:p>
    <w:p>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（一）单位负责人为同一人或者存在直接控股、管理关系的不同投标人，不得参加同一招标项目。</w:t>
      </w:r>
    </w:p>
    <w:p>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（二）本项目若有补遗、澄清文件一律在重庆市中医骨科医院官网上发布，请各投标人注意下载；无论投标人下载与否，均视同投标人已知晓本项目补遗、澄清文件的内容。</w:t>
      </w:r>
    </w:p>
    <w:p>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（三）超过投标截止时间递交的投标文件，恕不接收。</w:t>
      </w:r>
    </w:p>
    <w:p>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（四）投标费用：无论投标结果如何，投标人参与本项目投标的所有费用均应由投标人自行承担。</w:t>
      </w:r>
    </w:p>
    <w:p>
      <w:pPr>
        <w:widowControl/>
        <w:spacing w:line="594"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（五）本项目不接受联合体参与投标，否则按无效投标处理。</w:t>
      </w:r>
    </w:p>
    <w:p>
      <w:pPr>
        <w:widowControl/>
        <w:spacing w:line="594"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（六）本项目不接受合同分包，否则按无效投标处理。</w:t>
      </w:r>
    </w:p>
    <w:p>
      <w:pPr>
        <w:widowControl/>
        <w:spacing w:line="594" w:lineRule="exact"/>
        <w:ind w:firstLine="640" w:firstLineChars="200"/>
        <w:jc w:val="left"/>
        <w:rPr>
          <w:rFonts w:ascii="方正黑体_GBK" w:hAnsi="Times New Roman" w:eastAsia="方正黑体_GBK"/>
          <w:bCs/>
          <w:color w:val="000000"/>
          <w:kern w:val="0"/>
          <w:sz w:val="32"/>
          <w:szCs w:val="32"/>
        </w:rPr>
      </w:pPr>
      <w:bookmarkStart w:id="26" w:name="_Toc13310"/>
      <w:bookmarkStart w:id="27" w:name="_Toc109810334"/>
      <w:r>
        <w:rPr>
          <w:rFonts w:ascii="方正黑体_GBK" w:hAnsi="Times New Roman" w:eastAsia="方正黑体_GBK"/>
          <w:bCs/>
          <w:color w:val="000000"/>
          <w:kern w:val="0"/>
          <w:sz w:val="32"/>
          <w:szCs w:val="32"/>
        </w:rPr>
        <w:t>七、联系方式</w:t>
      </w:r>
      <w:bookmarkEnd w:id="26"/>
      <w:bookmarkEnd w:id="27"/>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（一）采购人：重庆市中医骨科医院</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联系人：</w:t>
      </w:r>
      <w:r>
        <w:rPr>
          <w:rFonts w:hint="eastAsia" w:ascii="Times New Roman" w:hAnsi="Times New Roman" w:eastAsia="方正仿宋_GBK"/>
          <w:sz w:val="32"/>
          <w:szCs w:val="32"/>
        </w:rPr>
        <w:t>刘老师</w:t>
      </w:r>
    </w:p>
    <w:p>
      <w:pPr>
        <w:snapToGrid w:val="0"/>
        <w:spacing w:line="594" w:lineRule="exact"/>
        <w:ind w:firstLine="640" w:firstLineChars="200"/>
        <w:jc w:val="left"/>
        <w:rPr>
          <w:rFonts w:ascii="Times New Roman" w:hAnsi="Times New Roman" w:eastAsia="方正仿宋_GBK"/>
          <w:b/>
          <w:color w:val="FF0000"/>
          <w:sz w:val="32"/>
          <w:szCs w:val="32"/>
        </w:rPr>
      </w:pPr>
      <w:r>
        <w:rPr>
          <w:rFonts w:ascii="Times New Roman" w:hAnsi="Times New Roman" w:eastAsia="方正仿宋_GBK"/>
          <w:sz w:val="32"/>
          <w:szCs w:val="32"/>
        </w:rPr>
        <w:t>电  话：（023）6393</w:t>
      </w:r>
      <w:r>
        <w:rPr>
          <w:rFonts w:hint="eastAsia" w:ascii="Times New Roman" w:hAnsi="Times New Roman" w:eastAsia="方正仿宋_GBK"/>
          <w:sz w:val="32"/>
          <w:szCs w:val="32"/>
        </w:rPr>
        <w:t>0833</w:t>
      </w:r>
    </w:p>
    <w:p>
      <w:pPr>
        <w:snapToGrid w:val="0"/>
        <w:spacing w:line="594" w:lineRule="exact"/>
        <w:ind w:firstLine="640" w:firstLineChars="200"/>
        <w:jc w:val="left"/>
        <w:rPr>
          <w:rFonts w:ascii="Times New Roman" w:hAnsi="Times New Roman" w:eastAsia="方正仿宋_GBK"/>
          <w:color w:val="FF0000"/>
          <w:sz w:val="32"/>
          <w:szCs w:val="32"/>
        </w:rPr>
      </w:pPr>
      <w:r>
        <w:rPr>
          <w:rFonts w:ascii="Times New Roman" w:hAnsi="Times New Roman" w:eastAsia="方正仿宋_GBK"/>
          <w:sz w:val="32"/>
          <w:szCs w:val="32"/>
        </w:rPr>
        <w:t>地  址：</w:t>
      </w:r>
      <w:r>
        <w:rPr>
          <w:rFonts w:ascii="Times New Roman" w:hAnsi="Times New Roman" w:eastAsia="方正仿宋_GBK"/>
          <w:color w:val="000000" w:themeColor="text1"/>
          <w:sz w:val="32"/>
          <w:szCs w:val="32"/>
          <w14:textFill>
            <w14:solidFill>
              <w14:schemeClr w14:val="tx1"/>
            </w14:solidFill>
          </w14:textFill>
        </w:rPr>
        <w:t>渝中区</w:t>
      </w:r>
      <w:r>
        <w:rPr>
          <w:rFonts w:hint="eastAsia" w:ascii="Times New Roman" w:hAnsi="Times New Roman" w:eastAsia="方正仿宋_GBK"/>
          <w:color w:val="000000" w:themeColor="text1"/>
          <w:sz w:val="32"/>
          <w:szCs w:val="32"/>
          <w14:textFill>
            <w14:solidFill>
              <w14:schemeClr w14:val="tx1"/>
            </w14:solidFill>
          </w14:textFill>
        </w:rPr>
        <w:t>富华路19号</w:t>
      </w:r>
    </w:p>
    <w:p>
      <w:pPr>
        <w:snapToGrid w:val="0"/>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（二）质疑联系部门：重庆市中医骨科医院</w:t>
      </w:r>
    </w:p>
    <w:p>
      <w:pPr>
        <w:snapToGrid w:val="0"/>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联系人：</w:t>
      </w:r>
      <w:r>
        <w:rPr>
          <w:rFonts w:hint="eastAsia" w:ascii="Times New Roman" w:hAnsi="Times New Roman" w:eastAsia="方正仿宋_GBK"/>
          <w:color w:val="000000" w:themeColor="text1"/>
          <w:sz w:val="32"/>
          <w:szCs w:val="32"/>
          <w14:textFill>
            <w14:solidFill>
              <w14:schemeClr w14:val="tx1"/>
            </w14:solidFill>
          </w14:textFill>
        </w:rPr>
        <w:t>王</w:t>
      </w:r>
      <w:r>
        <w:rPr>
          <w:rFonts w:ascii="Times New Roman" w:hAnsi="Times New Roman" w:eastAsia="方正仿宋_GBK"/>
          <w:color w:val="000000" w:themeColor="text1"/>
          <w:sz w:val="32"/>
          <w:szCs w:val="32"/>
          <w14:textFill>
            <w14:solidFill>
              <w14:schemeClr w14:val="tx1"/>
            </w14:solidFill>
          </w14:textFill>
        </w:rPr>
        <w:t>老师</w:t>
      </w:r>
    </w:p>
    <w:p>
      <w:pPr>
        <w:snapToGrid w:val="0"/>
        <w:spacing w:line="594" w:lineRule="exact"/>
        <w:ind w:firstLine="640" w:firstLineChars="200"/>
        <w:jc w:val="left"/>
        <w:rPr>
          <w:rFonts w:ascii="Times New Roman" w:hAnsi="Times New Roman" w:eastAsia="方正仿宋_GBK"/>
          <w:color w:val="FF0000"/>
          <w:sz w:val="32"/>
          <w:szCs w:val="32"/>
        </w:rPr>
      </w:pPr>
      <w:r>
        <w:rPr>
          <w:rFonts w:ascii="Times New Roman" w:hAnsi="Times New Roman" w:eastAsia="方正仿宋_GBK"/>
          <w:sz w:val="32"/>
          <w:szCs w:val="32"/>
        </w:rPr>
        <w:t>电  话：（023）6393</w:t>
      </w:r>
      <w:r>
        <w:rPr>
          <w:rFonts w:hint="eastAsia" w:ascii="Times New Roman" w:hAnsi="Times New Roman" w:eastAsia="方正仿宋_GBK"/>
          <w:sz w:val="32"/>
          <w:szCs w:val="32"/>
        </w:rPr>
        <w:t>0833</w:t>
      </w:r>
    </w:p>
    <w:p>
      <w:pPr>
        <w:snapToGrid w:val="0"/>
        <w:spacing w:line="594" w:lineRule="exact"/>
        <w:ind w:firstLine="640" w:firstLineChars="200"/>
        <w:jc w:val="left"/>
        <w:rPr>
          <w:rFonts w:ascii="Times New Roman" w:hAnsi="Times New Roman" w:eastAsia="方正仿宋_GBK"/>
          <w:color w:val="FF0000"/>
          <w:sz w:val="32"/>
          <w:szCs w:val="32"/>
        </w:rPr>
      </w:pPr>
      <w:r>
        <w:rPr>
          <w:rFonts w:ascii="Times New Roman" w:hAnsi="Times New Roman" w:eastAsia="方正仿宋_GBK"/>
          <w:color w:val="000000" w:themeColor="text1"/>
          <w:sz w:val="32"/>
          <w:szCs w:val="32"/>
          <w14:textFill>
            <w14:solidFill>
              <w14:schemeClr w14:val="tx1"/>
            </w14:solidFill>
          </w14:textFill>
        </w:rPr>
        <w:t>地  址：渝中区</w:t>
      </w:r>
      <w:r>
        <w:rPr>
          <w:rFonts w:hint="eastAsia" w:ascii="Times New Roman" w:hAnsi="Times New Roman" w:eastAsia="方正仿宋_GBK"/>
          <w:color w:val="000000" w:themeColor="text1"/>
          <w:sz w:val="32"/>
          <w:szCs w:val="32"/>
          <w14:textFill>
            <w14:solidFill>
              <w14:schemeClr w14:val="tx1"/>
            </w14:solidFill>
          </w14:textFill>
        </w:rPr>
        <w:t>富华路19号</w:t>
      </w:r>
    </w:p>
    <w:p>
      <w:pPr>
        <w:pStyle w:val="2"/>
        <w:spacing w:after="0" w:line="594" w:lineRule="exact"/>
        <w:ind w:left="0" w:leftChars="0" w:firstLine="640"/>
        <w:jc w:val="left"/>
        <w:rPr>
          <w:rFonts w:ascii="Times New Roman" w:hAnsi="Times New Roman" w:eastAsia="方正仿宋_GBK"/>
          <w:color w:val="000000" w:themeColor="text1"/>
          <w:sz w:val="32"/>
          <w:szCs w:val="32"/>
          <w14:textFill>
            <w14:solidFill>
              <w14:schemeClr w14:val="tx1"/>
            </w14:solidFill>
          </w14:textFill>
        </w:rPr>
      </w:pPr>
    </w:p>
    <w:bookmarkEnd w:id="18"/>
    <w:bookmarkEnd w:id="19"/>
    <w:bookmarkEnd w:id="20"/>
    <w:bookmarkEnd w:id="21"/>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八、</w:t>
      </w:r>
      <w:r>
        <w:rPr>
          <w:rFonts w:hint="eastAsia" w:ascii="Times New Roman" w:hAnsi="Times New Roman" w:eastAsia="方正仿宋_GBK"/>
          <w:sz w:val="32"/>
          <w:szCs w:val="32"/>
        </w:rPr>
        <w:t>采购参数及质量要</w:t>
      </w:r>
      <w:r>
        <w:rPr>
          <w:rFonts w:ascii="Times New Roman" w:hAnsi="Times New Roman" w:eastAsia="方正仿宋_GBK"/>
          <w:sz w:val="32"/>
          <w:szCs w:val="32"/>
        </w:rPr>
        <w:t>求</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（一）采购项目明细</w:t>
      </w:r>
    </w:p>
    <w:tbl>
      <w:tblPr>
        <w:tblStyle w:val="57"/>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525"/>
        <w:gridCol w:w="381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dxa"/>
            <w:tcBorders>
              <w:top w:val="single" w:color="auto" w:sz="4" w:space="0"/>
              <w:left w:val="single" w:color="auto" w:sz="4" w:space="0"/>
              <w:bottom w:val="single" w:color="auto" w:sz="4" w:space="0"/>
              <w:right w:val="single" w:color="auto" w:sz="4" w:space="0"/>
            </w:tcBorders>
          </w:tcPr>
          <w:p>
            <w:pPr>
              <w:snapToGrid w:val="0"/>
              <w:spacing w:line="594" w:lineRule="exact"/>
              <w:jc w:val="left"/>
              <w:rPr>
                <w:rFonts w:ascii="Times New Roman" w:hAnsi="Times New Roman" w:eastAsia="方正仿宋_GBK"/>
                <w:sz w:val="32"/>
                <w:szCs w:val="32"/>
              </w:rPr>
            </w:pPr>
            <w:r>
              <w:rPr>
                <w:rFonts w:hint="eastAsia" w:ascii="Times New Roman" w:hAnsi="Times New Roman" w:eastAsia="方正仿宋_GBK"/>
                <w:sz w:val="32"/>
                <w:szCs w:val="32"/>
              </w:rPr>
              <w:t>序号</w:t>
            </w:r>
          </w:p>
        </w:tc>
        <w:tc>
          <w:tcPr>
            <w:tcW w:w="3525" w:type="dxa"/>
            <w:tcBorders>
              <w:top w:val="single" w:color="auto" w:sz="4" w:space="0"/>
              <w:left w:val="single" w:color="auto" w:sz="4" w:space="0"/>
              <w:bottom w:val="single" w:color="auto" w:sz="4" w:space="0"/>
              <w:right w:val="single" w:color="auto" w:sz="4" w:space="0"/>
            </w:tcBorders>
          </w:tcPr>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设备/服务名称</w:t>
            </w:r>
          </w:p>
        </w:tc>
        <w:tc>
          <w:tcPr>
            <w:tcW w:w="3819" w:type="dxa"/>
            <w:tcBorders>
              <w:top w:val="single" w:color="auto" w:sz="4" w:space="0"/>
              <w:left w:val="single" w:color="auto" w:sz="4" w:space="0"/>
              <w:bottom w:val="single" w:color="auto" w:sz="4" w:space="0"/>
              <w:right w:val="single" w:color="auto" w:sz="4" w:space="0"/>
            </w:tcBorders>
          </w:tcPr>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需求描述</w:t>
            </w:r>
          </w:p>
        </w:tc>
        <w:tc>
          <w:tcPr>
            <w:tcW w:w="1275" w:type="dxa"/>
            <w:tcBorders>
              <w:top w:val="single" w:color="auto" w:sz="4" w:space="0"/>
              <w:left w:val="single" w:color="auto" w:sz="4" w:space="0"/>
              <w:bottom w:val="single" w:color="auto" w:sz="4" w:space="0"/>
              <w:right w:val="single" w:color="auto" w:sz="4" w:space="0"/>
            </w:tcBorders>
          </w:tcPr>
          <w:p>
            <w:pPr>
              <w:snapToGrid w:val="0"/>
              <w:spacing w:line="594" w:lineRule="exact"/>
              <w:jc w:val="left"/>
              <w:rPr>
                <w:rFonts w:ascii="Times New Roman" w:hAnsi="Times New Roman" w:eastAsia="方正仿宋_GBK"/>
                <w:sz w:val="32"/>
                <w:szCs w:val="32"/>
              </w:rPr>
            </w:pPr>
            <w:r>
              <w:rPr>
                <w:rFonts w:hint="eastAsia" w:ascii="Times New Roman" w:hAnsi="Times New Roman" w:eastAsia="方正仿宋_GBK"/>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w:t>
            </w:r>
          </w:p>
        </w:tc>
        <w:tc>
          <w:tcPr>
            <w:tcW w:w="3525" w:type="dxa"/>
            <w:tcBorders>
              <w:top w:val="single" w:color="auto" w:sz="4" w:space="0"/>
              <w:left w:val="single" w:color="auto" w:sz="4" w:space="0"/>
              <w:bottom w:val="single" w:color="auto" w:sz="4" w:space="0"/>
              <w:right w:val="single" w:color="auto" w:sz="4" w:space="0"/>
            </w:tcBorders>
            <w:vAlign w:val="center"/>
          </w:tcPr>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隔音室</w:t>
            </w:r>
          </w:p>
        </w:tc>
        <w:tc>
          <w:tcPr>
            <w:tcW w:w="3819" w:type="dxa"/>
            <w:tcBorders>
              <w:top w:val="single" w:color="auto" w:sz="4" w:space="0"/>
              <w:left w:val="single" w:color="auto" w:sz="4" w:space="0"/>
              <w:bottom w:val="single" w:color="auto" w:sz="4" w:space="0"/>
              <w:right w:val="single" w:color="auto" w:sz="4" w:space="0"/>
            </w:tcBorders>
          </w:tcPr>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见技术参数</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594" w:lineRule="exact"/>
              <w:jc w:val="left"/>
              <w:rPr>
                <w:rFonts w:ascii="Times New Roman" w:hAnsi="Times New Roman" w:eastAsia="方正仿宋_GBK"/>
                <w:sz w:val="32"/>
                <w:szCs w:val="32"/>
              </w:rPr>
            </w:pPr>
            <w:r>
              <w:rPr>
                <w:rFonts w:hint="eastAsia" w:ascii="Times New Roman" w:hAnsi="Times New Roman" w:eastAsia="方正仿宋_GBK"/>
                <w:sz w:val="32"/>
                <w:szCs w:val="32"/>
              </w:rPr>
              <w:t>1间</w:t>
            </w:r>
          </w:p>
        </w:tc>
      </w:tr>
    </w:tbl>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技术要求</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性能标准：</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隔声室产品</w:t>
      </w:r>
      <w:r>
        <w:rPr>
          <w:rFonts w:hint="eastAsia" w:ascii="Times New Roman" w:hAnsi="Times New Roman" w:eastAsia="方正仿宋_GBK"/>
          <w:sz w:val="32"/>
          <w:szCs w:val="32"/>
        </w:rPr>
        <w:t>符合</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GB</w:t>
      </w:r>
      <w:r>
        <w:rPr>
          <w:rFonts w:ascii="Times New Roman" w:hAnsi="Times New Roman" w:eastAsia="方正仿宋_GBK"/>
          <w:sz w:val="32"/>
          <w:szCs w:val="32"/>
        </w:rPr>
        <w:t>/</w:t>
      </w:r>
      <w:r>
        <w:rPr>
          <w:rFonts w:hint="eastAsia" w:ascii="Times New Roman" w:hAnsi="Times New Roman" w:eastAsia="方正仿宋_GBK"/>
          <w:sz w:val="32"/>
          <w:szCs w:val="32"/>
        </w:rPr>
        <w:t>T 16296.3-2017《声学测听方法用纯音及窄带测试信号的声场测听》</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GB/T 18883-2002《室内空气质量标准》</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隔声室房间外环境噪声声压级≤</w:t>
      </w:r>
      <w:r>
        <w:rPr>
          <w:rFonts w:hint="eastAsia" w:ascii="Times New Roman" w:hAnsi="Times New Roman" w:eastAsia="方正仿宋_GBK"/>
          <w:sz w:val="32"/>
          <w:szCs w:val="32"/>
        </w:rPr>
        <w:t>55</w:t>
      </w:r>
      <w:r>
        <w:rPr>
          <w:rFonts w:ascii="Times New Roman" w:hAnsi="Times New Roman" w:eastAsia="方正仿宋_GBK"/>
          <w:sz w:val="32"/>
          <w:szCs w:val="32"/>
        </w:rPr>
        <w:t>dB(A)</w:t>
      </w:r>
      <w:r>
        <w:rPr>
          <w:rFonts w:hint="eastAsia" w:ascii="Times New Roman" w:hAnsi="Times New Roman" w:eastAsia="方正仿宋_GBK"/>
          <w:sz w:val="32"/>
          <w:szCs w:val="32"/>
        </w:rPr>
        <w:t>，</w:t>
      </w:r>
      <w:r>
        <w:rPr>
          <w:rFonts w:ascii="Times New Roman" w:hAnsi="Times New Roman" w:eastAsia="方正仿宋_GBK"/>
          <w:sz w:val="32"/>
          <w:szCs w:val="32"/>
        </w:rPr>
        <w:t>室内本底噪声≤30dB(A)</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技术参数：</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1、隔音室外径2060</w:t>
      </w:r>
      <w:r>
        <w:rPr>
          <w:rFonts w:ascii="Arial" w:hAnsi="Arial" w:eastAsia="方正仿宋_GBK" w:cs="Arial"/>
          <w:sz w:val="32"/>
          <w:szCs w:val="32"/>
        </w:rPr>
        <w:t>×</w:t>
      </w:r>
      <w:r>
        <w:rPr>
          <w:rFonts w:hint="eastAsia" w:ascii="Times New Roman" w:hAnsi="Times New Roman" w:eastAsia="方正仿宋_GBK"/>
          <w:sz w:val="32"/>
          <w:szCs w:val="32"/>
        </w:rPr>
        <w:t>2060，内径2020</w:t>
      </w:r>
      <w:r>
        <w:rPr>
          <w:rFonts w:ascii="Arial" w:hAnsi="Arial" w:eastAsia="方正仿宋_GBK" w:cs="Arial"/>
          <w:sz w:val="32"/>
          <w:szCs w:val="32"/>
        </w:rPr>
        <w:t>×</w:t>
      </w:r>
      <w:r>
        <w:rPr>
          <w:rFonts w:hint="eastAsia" w:ascii="Times New Roman" w:hAnsi="Times New Roman" w:eastAsia="方正仿宋_GBK"/>
          <w:sz w:val="32"/>
          <w:szCs w:val="32"/>
        </w:rPr>
        <w:t>2020，隔声墙体采用超薄阻尼隔音墙，厚度小，隔音量大，在保证隔音效果的同时，最大限度的节省空间，提高操作测听环境的面积；墙体内外全钢悬浮结构</w:t>
      </w:r>
      <w:r>
        <w:rPr>
          <w:rFonts w:ascii="Times New Roman" w:hAnsi="Times New Roman" w:eastAsia="方正仿宋_GBK"/>
          <w:sz w:val="32"/>
          <w:szCs w:val="32"/>
        </w:rPr>
        <w:t>，采用2.0mm优质钢板冲压、复合构成，外表静电喷涂，颜色为白色。</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2、隔音门，全钢结构，</w:t>
      </w:r>
      <w:r>
        <w:rPr>
          <w:rFonts w:ascii="Times New Roman" w:hAnsi="Times New Roman" w:eastAsia="方正仿宋_GBK"/>
          <w:sz w:val="32"/>
          <w:szCs w:val="32"/>
        </w:rPr>
        <w:t>磁控式双声闸</w:t>
      </w:r>
      <w:r>
        <w:rPr>
          <w:rFonts w:hint="eastAsia" w:ascii="Times New Roman" w:hAnsi="Times New Roman" w:eastAsia="方正仿宋_GBK"/>
          <w:sz w:val="32"/>
          <w:szCs w:val="32"/>
        </w:rPr>
        <w:t>密封结构</w:t>
      </w:r>
      <w:r>
        <w:rPr>
          <w:rFonts w:ascii="Times New Roman" w:hAnsi="Times New Roman" w:eastAsia="方正仿宋_GBK"/>
          <w:sz w:val="32"/>
          <w:szCs w:val="32"/>
        </w:rPr>
        <w:t>，</w:t>
      </w:r>
      <w:r>
        <w:rPr>
          <w:rFonts w:hint="eastAsia" w:ascii="Times New Roman" w:hAnsi="Times New Roman" w:eastAsia="方正仿宋_GBK"/>
          <w:sz w:val="32"/>
          <w:szCs w:val="32"/>
        </w:rPr>
        <w:t>磁条采用双气囊结构</w:t>
      </w:r>
      <w:r>
        <w:rPr>
          <w:rFonts w:ascii="Times New Roman" w:hAnsi="Times New Roman" w:eastAsia="方正仿宋_GBK"/>
          <w:sz w:val="32"/>
          <w:szCs w:val="32"/>
        </w:rPr>
        <w:t>，标准规格：810×1880mm</w:t>
      </w:r>
      <w:r>
        <w:rPr>
          <w:rFonts w:hint="eastAsia" w:ascii="Times New Roman" w:hAnsi="Times New Roman" w:eastAsia="方正仿宋_GBK"/>
          <w:sz w:val="32"/>
          <w:szCs w:val="32"/>
        </w:rPr>
        <w:t>。偏差值小于±10.</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隔声</w:t>
      </w:r>
      <w:r>
        <w:rPr>
          <w:rFonts w:hint="eastAsia" w:ascii="Times New Roman" w:hAnsi="Times New Roman" w:eastAsia="方正仿宋_GBK"/>
          <w:sz w:val="32"/>
          <w:szCs w:val="32"/>
        </w:rPr>
        <w:t>模块化</w:t>
      </w:r>
      <w:r>
        <w:rPr>
          <w:rFonts w:ascii="Times New Roman" w:hAnsi="Times New Roman" w:eastAsia="方正仿宋_GBK"/>
          <w:sz w:val="32"/>
          <w:szCs w:val="32"/>
        </w:rPr>
        <w:t>专利技术</w:t>
      </w:r>
      <w:r>
        <w:rPr>
          <w:rFonts w:hint="eastAsia" w:ascii="Times New Roman" w:hAnsi="Times New Roman" w:eastAsia="方正仿宋_GBK"/>
          <w:sz w:val="32"/>
          <w:szCs w:val="32"/>
        </w:rPr>
        <w:t>，工厂定做隔声、隔音模块，可现场组装，</w:t>
      </w:r>
      <w:r>
        <w:rPr>
          <w:rFonts w:ascii="Times New Roman" w:hAnsi="Times New Roman" w:eastAsia="方正仿宋_GBK"/>
          <w:sz w:val="32"/>
          <w:szCs w:val="32"/>
        </w:rPr>
        <w:t>可拆卸可搬迁</w:t>
      </w:r>
      <w:r>
        <w:rPr>
          <w:rFonts w:hint="eastAsia" w:ascii="Times New Roman" w:hAnsi="Times New Roman" w:eastAsia="方正仿宋_GBK"/>
          <w:sz w:val="32"/>
          <w:szCs w:val="32"/>
        </w:rPr>
        <w:t>。</w:t>
      </w:r>
    </w:p>
    <w:p>
      <w:pPr>
        <w:snapToGrid w:val="0"/>
        <w:spacing w:line="594" w:lineRule="exact"/>
        <w:ind w:firstLine="560" w:firstLineChars="200"/>
        <w:jc w:val="left"/>
        <w:rPr>
          <w:rFonts w:ascii="Times New Roman" w:hAnsi="Times New Roman" w:eastAsia="方正仿宋_GBK"/>
          <w:sz w:val="32"/>
          <w:szCs w:val="32"/>
        </w:rPr>
      </w:pPr>
      <w:r>
        <w:rPr>
          <w:rFonts w:hint="eastAsia" w:ascii="Times New Roman" w:hAnsi="Times New Roman" w:eastAsia="方正仿宋_GBK"/>
          <w:sz w:val="28"/>
          <w:szCs w:val="28"/>
        </w:rPr>
        <w:t>★</w:t>
      </w:r>
      <w:r>
        <w:rPr>
          <w:rFonts w:hint="eastAsia" w:ascii="Times New Roman" w:hAnsi="Times New Roman" w:eastAsia="方正仿宋_GBK"/>
          <w:sz w:val="32"/>
          <w:szCs w:val="32"/>
        </w:rPr>
        <w:t>4、隔音材料：内部采用聚酯纤维棉作为隔音材料，不得使用玻璃棉。并提供</w:t>
      </w:r>
      <w:r>
        <w:rPr>
          <w:rFonts w:ascii="Times New Roman" w:hAnsi="Times New Roman" w:eastAsia="方正仿宋_GBK"/>
          <w:sz w:val="32"/>
          <w:szCs w:val="32"/>
        </w:rPr>
        <w:t>第三方环保及防火</w:t>
      </w:r>
      <w:r>
        <w:rPr>
          <w:rFonts w:hint="eastAsia" w:ascii="Times New Roman" w:hAnsi="Times New Roman" w:eastAsia="方正仿宋_GBK"/>
          <w:sz w:val="32"/>
          <w:szCs w:val="32"/>
        </w:rPr>
        <w:t>测试报告。</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5、减振浮筑底板，采用隔声阻尼减振浮筑底板，在隔声底板上均匀安装阻尼减振器，以消除大楼的固体传声。减振浮筑底板隔声量≥50dB(A)</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6、隔、吸音墙体、顶板，内装饰板采用金属板制造的穿孔吸音板，吸声系数需达到0.8以上，墙体、顶板隔声量≥50dB(A)。</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★7、隔声窗需采用加强型</w:t>
      </w:r>
      <w:r>
        <w:rPr>
          <w:rFonts w:ascii="Times New Roman" w:hAnsi="Times New Roman" w:eastAsia="方正仿宋_GBK"/>
          <w:sz w:val="32"/>
          <w:szCs w:val="32"/>
        </w:rPr>
        <w:t>三玻两空</w:t>
      </w:r>
      <w:r>
        <w:rPr>
          <w:rFonts w:hint="eastAsia" w:ascii="Times New Roman" w:hAnsi="Times New Roman" w:eastAsia="方正仿宋_GBK"/>
          <w:sz w:val="32"/>
          <w:szCs w:val="32"/>
        </w:rPr>
        <w:t>玻璃隔音窗技术，两</w:t>
      </w:r>
      <w:r>
        <w:rPr>
          <w:rFonts w:ascii="Times New Roman" w:hAnsi="Times New Roman" w:eastAsia="方正仿宋_GBK"/>
          <w:sz w:val="32"/>
          <w:szCs w:val="32"/>
        </w:rPr>
        <w:t>层</w:t>
      </w:r>
      <w:r>
        <w:rPr>
          <w:rFonts w:hint="eastAsia" w:ascii="Times New Roman" w:hAnsi="Times New Roman" w:eastAsia="方正仿宋_GBK"/>
          <w:sz w:val="32"/>
          <w:szCs w:val="32"/>
        </w:rPr>
        <w:t>中空层，中空层之间采用吸声层可根据客户需求采用单透玻璃，采用大视窗等，隔音窗隔声量≥50dB(A)，大小800</w:t>
      </w:r>
      <w:r>
        <w:rPr>
          <w:rFonts w:ascii="Arial" w:hAnsi="Arial" w:eastAsia="方正仿宋_GBK" w:cs="Arial"/>
          <w:sz w:val="32"/>
          <w:szCs w:val="32"/>
        </w:rPr>
        <w:t>×</w:t>
      </w:r>
      <w:r>
        <w:rPr>
          <w:rFonts w:hint="eastAsia" w:ascii="Times New Roman" w:hAnsi="Times New Roman" w:eastAsia="方正仿宋_GBK"/>
          <w:sz w:val="32"/>
          <w:szCs w:val="32"/>
        </w:rPr>
        <w:t>600，偏差值小于±10。</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8、室内照明系统，采用无声、无电磁干扰LED照明36W 。</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9、电源： 220V 50HZ允许功率 3.8KW，外部装有一个电源插头，内部根据仪器需要可安装2个电源插座。</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10、</w:t>
      </w:r>
      <w:r>
        <w:rPr>
          <w:rFonts w:ascii="Times New Roman" w:hAnsi="Times New Roman" w:eastAsia="方正仿宋_GBK"/>
          <w:sz w:val="32"/>
          <w:szCs w:val="32"/>
        </w:rPr>
        <w:t>8通道</w:t>
      </w:r>
      <w:r>
        <w:rPr>
          <w:rFonts w:hint="eastAsia" w:ascii="Times New Roman" w:hAnsi="Times New Roman" w:eastAsia="方正仿宋_GBK"/>
          <w:sz w:val="32"/>
          <w:szCs w:val="32"/>
        </w:rPr>
        <w:t>信号转接系统：</w:t>
      </w:r>
      <w:r>
        <w:rPr>
          <w:rFonts w:ascii="Times New Roman" w:hAnsi="Times New Roman" w:eastAsia="方正仿宋_GBK"/>
          <w:sz w:val="32"/>
          <w:szCs w:val="32"/>
        </w:rPr>
        <w:t>高保真线路板设计，6.5mm信号转接插座</w:t>
      </w:r>
      <w:r>
        <w:rPr>
          <w:rFonts w:hint="eastAsia" w:ascii="Times New Roman" w:hAnsi="Times New Roman" w:eastAsia="方正仿宋_GBK"/>
          <w:sz w:val="32"/>
          <w:szCs w:val="32"/>
        </w:rPr>
        <w:t>，防止信号失真和漏声；配备常规转换口便于工作站连接。</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11、通风要求：主动式有源通风系统；</w:t>
      </w:r>
      <w:r>
        <w:rPr>
          <w:rFonts w:ascii="Times New Roman" w:hAnsi="Times New Roman" w:eastAsia="方正仿宋_GBK"/>
          <w:sz w:val="32"/>
          <w:szCs w:val="32"/>
        </w:rPr>
        <w:t>采用阻抗式进气消声器和阻抗式排气消声器组合</w:t>
      </w:r>
      <w:r>
        <w:rPr>
          <w:rFonts w:hint="eastAsia" w:ascii="Times New Roman" w:hAnsi="Times New Roman" w:eastAsia="方正仿宋_GBK"/>
          <w:sz w:val="32"/>
          <w:szCs w:val="32"/>
        </w:rPr>
        <w:t>，具有良好的空气流通性，换气量≥120m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/小时，消音处理，消音量大于35dB</w:t>
      </w:r>
      <w:r>
        <w:rPr>
          <w:rFonts w:ascii="Times New Roman" w:hAnsi="Times New Roman" w:eastAsia="方正仿宋_GBK"/>
          <w:sz w:val="32"/>
          <w:szCs w:val="32"/>
        </w:rPr>
        <w:t>，消声通风专利技术</w:t>
      </w:r>
      <w:r>
        <w:rPr>
          <w:rFonts w:hint="eastAsia" w:ascii="Times New Roman" w:hAnsi="Times New Roman" w:eastAsia="方正仿宋_GBK"/>
          <w:sz w:val="32"/>
          <w:szCs w:val="32"/>
        </w:rPr>
        <w:t>。</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12、地面材料及要求：需采用防潮吸音地毯。</w:t>
      </w:r>
    </w:p>
    <w:p>
      <w:pPr>
        <w:widowControl/>
        <w:spacing w:line="594" w:lineRule="exact"/>
        <w:ind w:firstLine="640" w:firstLineChars="200"/>
        <w:jc w:val="left"/>
        <w:rPr>
          <w:rFonts w:ascii="方正黑体_GBK" w:hAnsi="Times New Roman" w:eastAsia="方正黑体_GBK"/>
          <w:bCs/>
          <w:color w:val="000000"/>
          <w:kern w:val="0"/>
          <w:sz w:val="32"/>
          <w:szCs w:val="32"/>
        </w:rPr>
      </w:pPr>
      <w:r>
        <w:rPr>
          <w:rFonts w:ascii="方正黑体_GBK" w:hAnsi="Times New Roman" w:eastAsia="方正黑体_GBK"/>
          <w:bCs/>
          <w:color w:val="000000"/>
          <w:kern w:val="0"/>
          <w:sz w:val="32"/>
          <w:szCs w:val="32"/>
        </w:rPr>
        <w:t>九、商务需求</w:t>
      </w:r>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（一）服务期限</w:t>
      </w:r>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本次招标项目服务期限为签订合同生效后至</w:t>
      </w:r>
      <w:r>
        <w:rPr>
          <w:rFonts w:hint="eastAsia" w:ascii="Times New Roman" w:hAnsi="Times New Roman" w:eastAsia="方正仿宋_GBK"/>
          <w:sz w:val="32"/>
          <w:szCs w:val="32"/>
        </w:rPr>
        <w:t>质保</w:t>
      </w:r>
      <w:r>
        <w:rPr>
          <w:rFonts w:ascii="Times New Roman" w:hAnsi="Times New Roman" w:eastAsia="方正仿宋_GBK"/>
          <w:sz w:val="32"/>
          <w:szCs w:val="32"/>
        </w:rPr>
        <w:t>期结束</w:t>
      </w:r>
      <w:r>
        <w:rPr>
          <w:rFonts w:hint="eastAsia" w:ascii="Times New Roman" w:hAnsi="Times New Roman" w:eastAsia="方正仿宋_GBK"/>
          <w:color w:val="000000" w:themeColor="text1"/>
          <w:sz w:val="32"/>
          <w:szCs w:val="32"/>
          <w14:textFill>
            <w14:solidFill>
              <w14:schemeClr w14:val="tx1"/>
            </w14:solidFill>
          </w14:textFill>
        </w:rPr>
        <w:t>。</w:t>
      </w:r>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（二）服务地点</w:t>
      </w:r>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重庆市中医骨科医院</w:t>
      </w:r>
      <w:r>
        <w:rPr>
          <w:rFonts w:ascii="Times New Roman" w:hAnsi="Times New Roman" w:eastAsia="方正仿宋_GBK"/>
          <w:color w:val="000000" w:themeColor="text1"/>
          <w:sz w:val="32"/>
          <w:szCs w:val="32"/>
          <w14:textFill>
            <w14:solidFill>
              <w14:schemeClr w14:val="tx1"/>
            </w14:solidFill>
          </w14:textFill>
        </w:rPr>
        <w:t>化龙桥院区</w:t>
      </w:r>
      <w:r>
        <w:rPr>
          <w:rFonts w:hint="eastAsia" w:ascii="Times New Roman" w:hAnsi="Times New Roman" w:eastAsia="方正仿宋_GBK"/>
          <w:color w:val="000000" w:themeColor="text1"/>
          <w:sz w:val="32"/>
          <w:szCs w:val="32"/>
          <w14:textFill>
            <w14:solidFill>
              <w14:schemeClr w14:val="tx1"/>
            </w14:solidFill>
          </w14:textFill>
        </w:rPr>
        <w:t>一期项目</w:t>
      </w:r>
      <w:r>
        <w:rPr>
          <w:rFonts w:ascii="Times New Roman" w:hAnsi="Times New Roman" w:eastAsia="方正仿宋_GBK"/>
          <w:color w:val="000000" w:themeColor="text1"/>
          <w:sz w:val="32"/>
          <w:szCs w:val="32"/>
          <w14:textFill>
            <w14:solidFill>
              <w14:schemeClr w14:val="tx1"/>
            </w14:solidFill>
          </w14:textFill>
        </w:rPr>
        <w:t>：渝中区</w:t>
      </w:r>
      <w:r>
        <w:rPr>
          <w:rFonts w:hint="eastAsia" w:ascii="Times New Roman" w:hAnsi="Times New Roman" w:eastAsia="方正仿宋_GBK"/>
          <w:color w:val="000000" w:themeColor="text1"/>
          <w:sz w:val="32"/>
          <w:szCs w:val="32"/>
          <w14:textFill>
            <w14:solidFill>
              <w14:schemeClr w14:val="tx1"/>
            </w14:solidFill>
          </w14:textFill>
        </w:rPr>
        <w:t>富华路19号</w:t>
      </w:r>
    </w:p>
    <w:p>
      <w:pPr>
        <w:pStyle w:val="5"/>
        <w:spacing w:before="0" w:after="0" w:line="594" w:lineRule="exact"/>
        <w:ind w:firstLine="640" w:firstLineChars="200"/>
        <w:jc w:val="left"/>
        <w:rPr>
          <w:rFonts w:ascii="Times New Roman" w:hAnsi="Times New Roman" w:eastAsia="方正仿宋_GBK"/>
          <w:b w:val="0"/>
          <w:color w:val="000000" w:themeColor="text1"/>
          <w:szCs w:val="32"/>
          <w14:textFill>
            <w14:solidFill>
              <w14:schemeClr w14:val="tx1"/>
            </w14:solidFill>
          </w14:textFill>
        </w:rPr>
      </w:pPr>
      <w:bookmarkStart w:id="28" w:name="_Toc2232"/>
      <w:r>
        <w:rPr>
          <w:rFonts w:ascii="Times New Roman" w:hAnsi="Times New Roman" w:eastAsia="方正仿宋_GBK"/>
          <w:b w:val="0"/>
          <w:color w:val="000000" w:themeColor="text1"/>
          <w:szCs w:val="32"/>
          <w14:textFill>
            <w14:solidFill>
              <w14:schemeClr w14:val="tx1"/>
            </w14:solidFill>
          </w14:textFill>
        </w:rPr>
        <w:t>（三）验收方式</w:t>
      </w:r>
      <w:bookmarkEnd w:id="28"/>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安装结束后，由采购人对</w:t>
      </w:r>
      <w:r>
        <w:rPr>
          <w:rFonts w:hint="eastAsia" w:ascii="Times New Roman" w:hAnsi="Times New Roman" w:eastAsia="方正仿宋_GBK"/>
          <w:color w:val="000000" w:themeColor="text1"/>
          <w:sz w:val="32"/>
          <w:szCs w:val="32"/>
          <w14:textFill>
            <w14:solidFill>
              <w14:schemeClr w14:val="tx1"/>
            </w14:solidFill>
          </w14:textFill>
        </w:rPr>
        <w:t>安装</w:t>
      </w:r>
      <w:r>
        <w:rPr>
          <w:rFonts w:ascii="Times New Roman" w:hAnsi="Times New Roman" w:eastAsia="方正仿宋_GBK"/>
          <w:color w:val="000000" w:themeColor="text1"/>
          <w:sz w:val="32"/>
          <w:szCs w:val="32"/>
          <w14:textFill>
            <w14:solidFill>
              <w14:schemeClr w14:val="tx1"/>
            </w14:solidFill>
          </w14:textFill>
        </w:rPr>
        <w:t>物品进行清点和检查，确认物品有无丢失或损坏，如有丢失或损坏，中标人照价赔偿。</w:t>
      </w:r>
    </w:p>
    <w:p>
      <w:pPr>
        <w:pStyle w:val="5"/>
        <w:spacing w:before="0" w:after="0" w:line="594" w:lineRule="exact"/>
        <w:ind w:firstLine="640" w:firstLineChars="200"/>
        <w:jc w:val="left"/>
        <w:rPr>
          <w:rFonts w:ascii="Times New Roman" w:hAnsi="Times New Roman" w:eastAsia="方正仿宋_GBK"/>
          <w:b w:val="0"/>
          <w:color w:val="000000" w:themeColor="text1"/>
          <w:szCs w:val="32"/>
          <w14:textFill>
            <w14:solidFill>
              <w14:schemeClr w14:val="tx1"/>
            </w14:solidFill>
          </w14:textFill>
        </w:rPr>
      </w:pPr>
      <w:bookmarkStart w:id="29" w:name="_Toc484597932"/>
      <w:bookmarkStart w:id="30" w:name="_Toc22086"/>
      <w:bookmarkStart w:id="31" w:name="_Toc55915762"/>
      <w:r>
        <w:rPr>
          <w:rFonts w:ascii="Times New Roman" w:hAnsi="Times New Roman" w:eastAsia="方正仿宋_GBK"/>
          <w:b w:val="0"/>
          <w:color w:val="000000" w:themeColor="text1"/>
          <w:szCs w:val="32"/>
          <w14:textFill>
            <w14:solidFill>
              <w14:schemeClr w14:val="tx1"/>
            </w14:solidFill>
          </w14:textFill>
        </w:rPr>
        <w:t>（四）报价要求</w:t>
      </w:r>
      <w:bookmarkEnd w:id="29"/>
      <w:bookmarkEnd w:id="30"/>
      <w:bookmarkEnd w:id="31"/>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bookmarkStart w:id="32" w:name="_Toc267320051"/>
      <w:bookmarkStart w:id="33" w:name="_Toc55915763"/>
      <w:bookmarkStart w:id="34" w:name="_Toc484597933"/>
      <w:r>
        <w:rPr>
          <w:rFonts w:ascii="Times New Roman" w:hAnsi="Times New Roman" w:eastAsia="方正仿宋_GBK"/>
          <w:color w:val="000000" w:themeColor="text1"/>
          <w:sz w:val="32"/>
          <w:szCs w:val="32"/>
          <w14:textFill>
            <w14:solidFill>
              <w14:schemeClr w14:val="tx1"/>
            </w14:solidFill>
          </w14:textFill>
        </w:rPr>
        <w:t>1、投标人应对本项目按包干含税价进行报价。</w:t>
      </w:r>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、本次报价须为人民币报价，投标报价包括但不仅限于：劳务费、运输费、油费、保险费、</w:t>
      </w:r>
      <w:r>
        <w:rPr>
          <w:rFonts w:hint="eastAsia" w:ascii="Times New Roman" w:hAnsi="Times New Roman" w:eastAsia="方正仿宋_GBK"/>
          <w:bCs/>
          <w:color w:val="000000" w:themeColor="text1"/>
          <w:sz w:val="32"/>
          <w:szCs w:val="32"/>
          <w14:textFill>
            <w14:solidFill>
              <w14:schemeClr w14:val="tx1"/>
            </w14:solidFill>
          </w14:textFill>
        </w:rPr>
        <w:t>安装调试费、</w:t>
      </w:r>
      <w:r>
        <w:rPr>
          <w:rFonts w:ascii="Times New Roman" w:hAnsi="Times New Roman" w:eastAsia="方正仿宋_GBK"/>
          <w:color w:val="000000" w:themeColor="text1"/>
          <w:sz w:val="32"/>
          <w:szCs w:val="32"/>
          <w14:textFill>
            <w14:solidFill>
              <w14:schemeClr w14:val="tx1"/>
            </w14:solidFill>
          </w14:textFill>
        </w:rPr>
        <w:t>管理费、所有税费等费用。</w:t>
      </w:r>
      <w:r>
        <w:rPr>
          <w:rFonts w:hint="eastAsia" w:ascii="Times New Roman" w:hAnsi="Times New Roman" w:eastAsia="方正仿宋_GBK"/>
          <w:bCs/>
          <w:color w:val="000000" w:themeColor="text1"/>
          <w:sz w:val="32"/>
          <w:szCs w:val="32"/>
          <w14:textFill>
            <w14:solidFill>
              <w14:schemeClr w14:val="tx1"/>
            </w14:solidFill>
          </w14:textFill>
        </w:rPr>
        <w:t>因投标人自身原因造成漏报、少报皆由其自行承担责任，采购人不再补偿。</w:t>
      </w:r>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w:t>
      </w:r>
      <w:r>
        <w:rPr>
          <w:rFonts w:ascii="Times New Roman" w:hAnsi="Times New Roman" w:eastAsia="方正仿宋_GBK"/>
          <w:color w:val="000000" w:themeColor="text1"/>
          <w:sz w:val="32"/>
          <w:szCs w:val="32"/>
          <w14:textFill>
            <w14:solidFill>
              <w14:schemeClr w14:val="tx1"/>
            </w14:solidFill>
          </w14:textFill>
        </w:rPr>
        <w:t>、投标人自行考虑并承担一切安全风险。</w:t>
      </w:r>
    </w:p>
    <w:p>
      <w:pPr>
        <w:pStyle w:val="5"/>
        <w:spacing w:before="0" w:after="0" w:line="594" w:lineRule="exact"/>
        <w:ind w:firstLine="640" w:firstLineChars="200"/>
        <w:jc w:val="left"/>
        <w:rPr>
          <w:rFonts w:ascii="Times New Roman" w:hAnsi="Times New Roman" w:eastAsia="方正仿宋_GBK"/>
          <w:b w:val="0"/>
          <w:color w:val="000000" w:themeColor="text1"/>
          <w:szCs w:val="32"/>
          <w14:textFill>
            <w14:solidFill>
              <w14:schemeClr w14:val="tx1"/>
            </w14:solidFill>
          </w14:textFill>
        </w:rPr>
      </w:pPr>
      <w:bookmarkStart w:id="35" w:name="_Toc27389"/>
      <w:r>
        <w:rPr>
          <w:rFonts w:ascii="Times New Roman" w:hAnsi="Times New Roman" w:eastAsia="方正仿宋_GBK"/>
          <w:b w:val="0"/>
          <w:color w:val="000000" w:themeColor="text1"/>
          <w:szCs w:val="32"/>
          <w14:textFill>
            <w14:solidFill>
              <w14:schemeClr w14:val="tx1"/>
            </w14:solidFill>
          </w14:textFill>
        </w:rPr>
        <w:t>（五）付款方式</w:t>
      </w:r>
      <w:bookmarkEnd w:id="32"/>
      <w:bookmarkEnd w:id="33"/>
      <w:bookmarkEnd w:id="34"/>
      <w:bookmarkEnd w:id="35"/>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1、合同签订前中标人向采购人缴纳合同金额</w:t>
      </w:r>
      <w:r>
        <w:rPr>
          <w:rFonts w:hint="eastAsia" w:ascii="Times New Roman" w:hAnsi="Times New Roman" w:eastAsia="方正仿宋_GBK"/>
          <w:color w:val="000000" w:themeColor="text1"/>
          <w:sz w:val="32"/>
          <w:szCs w:val="32"/>
          <w14:textFill>
            <w14:solidFill>
              <w14:schemeClr w14:val="tx1"/>
            </w14:solidFill>
          </w14:textFill>
        </w:rPr>
        <w:t>10</w:t>
      </w:r>
      <w:r>
        <w:rPr>
          <w:rFonts w:ascii="Times New Roman" w:hAnsi="Times New Roman" w:eastAsia="方正仿宋_GBK"/>
          <w:color w:val="000000" w:themeColor="text1"/>
          <w:sz w:val="32"/>
          <w:szCs w:val="32"/>
          <w14:textFill>
            <w14:solidFill>
              <w14:schemeClr w14:val="tx1"/>
            </w14:solidFill>
          </w14:textFill>
        </w:rPr>
        <w:t>%的履约保证金（以转账的形式提交）。</w:t>
      </w:r>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中标人收到采购人发出的中标通知书后，按照上述约定将本项目的履约保证金缴纳给采购人。</w:t>
      </w:r>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安装</w:t>
      </w:r>
      <w:r>
        <w:rPr>
          <w:rFonts w:ascii="Times New Roman" w:hAnsi="Times New Roman" w:eastAsia="方正仿宋_GBK"/>
          <w:color w:val="000000" w:themeColor="text1"/>
          <w:sz w:val="32"/>
          <w:szCs w:val="32"/>
          <w14:textFill>
            <w14:solidFill>
              <w14:schemeClr w14:val="tx1"/>
            </w14:solidFill>
          </w14:textFill>
        </w:rPr>
        <w:t>服务结束后，经采购人验收，如有扣款的，中标人开具有效票据按双方核定金额结算</w:t>
      </w:r>
      <w:r>
        <w:rPr>
          <w:rFonts w:hint="eastAsia" w:ascii="Times New Roman" w:hAnsi="Times New Roman" w:eastAsia="方正仿宋_GBK"/>
          <w:color w:val="000000" w:themeColor="text1"/>
          <w:sz w:val="32"/>
          <w:szCs w:val="32"/>
          <w14:textFill>
            <w14:solidFill>
              <w14:schemeClr w14:val="tx1"/>
            </w14:solidFill>
          </w14:textFill>
        </w:rPr>
        <w:t>。</w:t>
      </w:r>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3、合同生效过程中，采购人如要求增加未事先约定的服务项目，增加部分由双方协商确定</w:t>
      </w:r>
      <w:r>
        <w:rPr>
          <w:rFonts w:hint="eastAsia" w:ascii="Times New Roman" w:hAnsi="Times New Roman" w:eastAsia="方正仿宋_GBK"/>
          <w:color w:val="000000" w:themeColor="text1"/>
          <w:sz w:val="32"/>
          <w:szCs w:val="32"/>
          <w14:textFill>
            <w14:solidFill>
              <w14:schemeClr w14:val="tx1"/>
            </w14:solidFill>
          </w14:textFill>
        </w:rPr>
        <w:t>。</w:t>
      </w:r>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4、履约保证金在合同期满后且验收合格后五个工作日内无息退款中标人。</w:t>
      </w:r>
      <w:r>
        <w:rPr>
          <w:rFonts w:ascii="Times New Roman" w:hAnsi="Times New Roman" w:eastAsia="方正仿宋_GBK"/>
          <w:color w:val="000000" w:themeColor="text1"/>
          <w:sz w:val="32"/>
          <w:szCs w:val="32"/>
          <w14:textFill>
            <w14:solidFill>
              <w14:schemeClr w14:val="tx1"/>
            </w14:solidFill>
          </w14:textFill>
        </w:rPr>
        <w:tab/>
      </w:r>
    </w:p>
    <w:p>
      <w:pPr>
        <w:pStyle w:val="5"/>
        <w:spacing w:before="0" w:after="0" w:line="594" w:lineRule="exact"/>
        <w:ind w:firstLine="640" w:firstLineChars="200"/>
        <w:jc w:val="left"/>
        <w:rPr>
          <w:rFonts w:ascii="Times New Roman" w:hAnsi="Times New Roman" w:eastAsia="方正仿宋_GBK"/>
          <w:b w:val="0"/>
          <w:color w:val="000000" w:themeColor="text1"/>
          <w:szCs w:val="32"/>
          <w14:textFill>
            <w14:solidFill>
              <w14:schemeClr w14:val="tx1"/>
            </w14:solidFill>
          </w14:textFill>
        </w:rPr>
      </w:pPr>
      <w:bookmarkStart w:id="36" w:name="_Toc55915766"/>
      <w:bookmarkStart w:id="37" w:name="_Toc267320054"/>
      <w:bookmarkStart w:id="38" w:name="_Toc484597935"/>
      <w:bookmarkStart w:id="39" w:name="_Toc12420"/>
      <w:r>
        <w:rPr>
          <w:rFonts w:ascii="Times New Roman" w:hAnsi="Times New Roman" w:eastAsia="方正仿宋_GBK"/>
          <w:b w:val="0"/>
          <w:color w:val="000000" w:themeColor="text1"/>
          <w:szCs w:val="32"/>
          <w14:textFill>
            <w14:solidFill>
              <w14:schemeClr w14:val="tx1"/>
            </w14:solidFill>
          </w14:textFill>
        </w:rPr>
        <w:t>（六）其他</w:t>
      </w:r>
      <w:bookmarkEnd w:id="36"/>
      <w:bookmarkEnd w:id="37"/>
      <w:bookmarkEnd w:id="38"/>
      <w:bookmarkEnd w:id="39"/>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其他未尽事宜由供需双方在采购合同中详细约定。</w:t>
      </w:r>
    </w:p>
    <w:p>
      <w:pPr>
        <w:widowControl/>
        <w:spacing w:line="594" w:lineRule="exact"/>
        <w:ind w:firstLine="640" w:firstLineChars="200"/>
        <w:jc w:val="left"/>
        <w:rPr>
          <w:rFonts w:ascii="方正黑体_GBK" w:hAnsi="Times New Roman" w:eastAsia="方正黑体_GBK"/>
          <w:bCs/>
          <w:color w:val="000000"/>
          <w:kern w:val="0"/>
          <w:sz w:val="32"/>
          <w:szCs w:val="32"/>
        </w:rPr>
      </w:pPr>
      <w:bookmarkStart w:id="40" w:name="_Toc107405804"/>
      <w:bookmarkStart w:id="41" w:name="_Toc32136"/>
      <w:r>
        <w:rPr>
          <w:rFonts w:ascii="方正黑体_GBK" w:hAnsi="Times New Roman" w:eastAsia="方正黑体_GBK"/>
          <w:bCs/>
          <w:color w:val="000000"/>
          <w:kern w:val="0"/>
          <w:sz w:val="32"/>
          <w:szCs w:val="32"/>
        </w:rPr>
        <w:t>十、评标方法</w:t>
      </w:r>
      <w:bookmarkEnd w:id="40"/>
      <w:bookmarkEnd w:id="41"/>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（一）</w:t>
      </w:r>
      <w:r>
        <w:rPr>
          <w:rFonts w:ascii="Times New Roman" w:hAnsi="Times New Roman" w:eastAsia="方正仿宋_GBK"/>
          <w:sz w:val="32"/>
          <w:szCs w:val="32"/>
        </w:rPr>
        <w:t>本项目采用综合评分法进行评标。</w:t>
      </w:r>
    </w:p>
    <w:p>
      <w:pPr>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综合评分法，是指投标文件满足招标文件全部实质性要求且按照评审因素的量化指标评审得分最高的投标人为中标候选人的评标方法。投标人总得分为价格、服务、商务等评定因素分别按照相应权重值计算分项得分后相加，满分为100分。</w:t>
      </w:r>
    </w:p>
    <w:p>
      <w:pPr>
        <w:pStyle w:val="5"/>
        <w:spacing w:before="0" w:after="0" w:line="594" w:lineRule="exact"/>
        <w:ind w:firstLine="640" w:firstLineChars="200"/>
        <w:jc w:val="left"/>
        <w:rPr>
          <w:rFonts w:ascii="Times New Roman" w:hAnsi="Times New Roman" w:eastAsia="方正仿宋_GBK"/>
          <w:b w:val="0"/>
          <w:bCs/>
          <w:szCs w:val="32"/>
        </w:rPr>
      </w:pPr>
      <w:r>
        <w:rPr>
          <w:rFonts w:hint="eastAsia" w:ascii="Times New Roman" w:hAnsi="Times New Roman" w:eastAsia="方正仿宋_GBK"/>
          <w:b w:val="0"/>
          <w:bCs/>
          <w:szCs w:val="32"/>
        </w:rPr>
        <w:t>（二）</w:t>
      </w:r>
      <w:r>
        <w:rPr>
          <w:rFonts w:ascii="Times New Roman" w:hAnsi="Times New Roman" w:eastAsia="方正仿宋_GBK"/>
          <w:b w:val="0"/>
          <w:bCs/>
          <w:szCs w:val="32"/>
        </w:rPr>
        <w:t>评标标准</w:t>
      </w:r>
    </w:p>
    <w:tbl>
      <w:tblPr>
        <w:tblStyle w:val="57"/>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59"/>
        <w:gridCol w:w="850"/>
        <w:gridCol w:w="5163"/>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85" w:type="dxa"/>
            <w:vAlign w:val="center"/>
          </w:tcPr>
          <w:p>
            <w:pPr>
              <w:snapToGrid w:val="0"/>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序号</w:t>
            </w:r>
          </w:p>
        </w:tc>
        <w:tc>
          <w:tcPr>
            <w:tcW w:w="1559" w:type="dxa"/>
            <w:vAlign w:val="center"/>
          </w:tcPr>
          <w:p>
            <w:pPr>
              <w:snapToGrid w:val="0"/>
              <w:spacing w:line="400" w:lineRule="exact"/>
              <w:ind w:left="-38"/>
              <w:jc w:val="center"/>
              <w:rPr>
                <w:rFonts w:ascii="Times New Roman" w:hAnsi="Times New Roman" w:eastAsia="方正仿宋_GBK"/>
                <w:b/>
                <w:bCs/>
                <w:sz w:val="28"/>
                <w:szCs w:val="28"/>
              </w:rPr>
            </w:pPr>
            <w:r>
              <w:rPr>
                <w:rFonts w:ascii="Times New Roman" w:hAnsi="Times New Roman" w:eastAsia="方正仿宋_GBK"/>
                <w:b/>
                <w:bCs/>
                <w:sz w:val="28"/>
                <w:szCs w:val="28"/>
              </w:rPr>
              <w:t>评分因素及权重</w:t>
            </w:r>
          </w:p>
        </w:tc>
        <w:tc>
          <w:tcPr>
            <w:tcW w:w="850" w:type="dxa"/>
            <w:vAlign w:val="center"/>
          </w:tcPr>
          <w:p>
            <w:pPr>
              <w:snapToGrid w:val="0"/>
              <w:spacing w:line="400" w:lineRule="exact"/>
              <w:ind w:left="-38"/>
              <w:jc w:val="center"/>
              <w:rPr>
                <w:rFonts w:ascii="Times New Roman" w:hAnsi="Times New Roman" w:eastAsia="方正仿宋_GBK"/>
                <w:b/>
                <w:bCs/>
                <w:sz w:val="28"/>
                <w:szCs w:val="28"/>
              </w:rPr>
            </w:pPr>
            <w:r>
              <w:rPr>
                <w:rFonts w:ascii="Times New Roman" w:hAnsi="Times New Roman" w:eastAsia="方正仿宋_GBK"/>
                <w:b/>
                <w:bCs/>
                <w:sz w:val="28"/>
                <w:szCs w:val="28"/>
              </w:rPr>
              <w:t>分值</w:t>
            </w:r>
          </w:p>
        </w:tc>
        <w:tc>
          <w:tcPr>
            <w:tcW w:w="5163" w:type="dxa"/>
            <w:vAlign w:val="center"/>
          </w:tcPr>
          <w:p>
            <w:pPr>
              <w:snapToGrid w:val="0"/>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评分标准</w:t>
            </w:r>
          </w:p>
        </w:tc>
        <w:tc>
          <w:tcPr>
            <w:tcW w:w="1873" w:type="dxa"/>
            <w:vAlign w:val="center"/>
          </w:tcPr>
          <w:p>
            <w:pPr>
              <w:snapToGrid w:val="0"/>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85" w:type="dxa"/>
            <w:vAlign w:val="center"/>
          </w:tcPr>
          <w:p>
            <w:pPr>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1</w:t>
            </w:r>
          </w:p>
        </w:tc>
        <w:tc>
          <w:tcPr>
            <w:tcW w:w="1559" w:type="dxa"/>
            <w:vAlign w:val="center"/>
          </w:tcPr>
          <w:p>
            <w:pPr>
              <w:snapToGrid w:val="0"/>
              <w:spacing w:line="400" w:lineRule="exact"/>
              <w:ind w:left="-38"/>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投标报价（</w:t>
            </w:r>
            <w:r>
              <w:rPr>
                <w:rFonts w:hint="eastAsia" w:ascii="Times New Roman" w:hAnsi="Times New Roman" w:eastAsia="方正仿宋_GBK"/>
                <w:color w:val="000000" w:themeColor="text1"/>
                <w:sz w:val="28"/>
                <w:szCs w:val="28"/>
                <w14:textFill>
                  <w14:solidFill>
                    <w14:schemeClr w14:val="tx1"/>
                  </w14:solidFill>
                </w14:textFill>
              </w:rPr>
              <w:t>45</w:t>
            </w:r>
            <w:r>
              <w:rPr>
                <w:rFonts w:ascii="Times New Roman" w:hAnsi="Times New Roman" w:eastAsia="方正仿宋_GBK"/>
                <w:color w:val="000000" w:themeColor="text1"/>
                <w:sz w:val="28"/>
                <w:szCs w:val="28"/>
                <w14:textFill>
                  <w14:solidFill>
                    <w14:schemeClr w14:val="tx1"/>
                  </w14:solidFill>
                </w14:textFill>
              </w:rPr>
              <w:t>%）</w:t>
            </w:r>
          </w:p>
        </w:tc>
        <w:tc>
          <w:tcPr>
            <w:tcW w:w="850" w:type="dxa"/>
            <w:vAlign w:val="center"/>
          </w:tcPr>
          <w:p>
            <w:pPr>
              <w:snapToGrid w:val="0"/>
              <w:spacing w:line="400" w:lineRule="exact"/>
              <w:ind w:left="-38"/>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4</w:t>
            </w:r>
            <w:r>
              <w:rPr>
                <w:rFonts w:hint="eastAsia" w:ascii="Times New Roman" w:hAnsi="Times New Roman" w:eastAsia="方正仿宋_GBK"/>
                <w:color w:val="000000" w:themeColor="text1"/>
                <w:sz w:val="28"/>
                <w:szCs w:val="28"/>
                <w14:textFill>
                  <w14:solidFill>
                    <w14:schemeClr w14:val="tx1"/>
                  </w14:solidFill>
                </w14:textFill>
              </w:rPr>
              <w:t>5</w:t>
            </w:r>
          </w:p>
        </w:tc>
        <w:tc>
          <w:tcPr>
            <w:tcW w:w="5163" w:type="dxa"/>
            <w:vAlign w:val="center"/>
          </w:tcPr>
          <w:p>
            <w:pPr>
              <w:snapToGrid w:val="0"/>
              <w:spacing w:line="400" w:lineRule="exact"/>
              <w:ind w:left="-38" w:firstLine="560" w:firstLineChars="200"/>
              <w:jc w:val="left"/>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有效的投标报价中的最低价为评标基准价，按照下列公式计算每个投标人的投标价格得分。</w:t>
            </w:r>
          </w:p>
          <w:p>
            <w:pPr>
              <w:snapToGrid w:val="0"/>
              <w:spacing w:line="400" w:lineRule="exact"/>
              <w:ind w:left="-38" w:firstLine="560" w:firstLineChars="200"/>
              <w:jc w:val="left"/>
              <w:rPr>
                <w:rFonts w:ascii="Times New Roman" w:hAnsi="Times New Roman" w:eastAsia="方正仿宋_GBK"/>
                <w:color w:val="FF0000"/>
                <w:sz w:val="28"/>
                <w:szCs w:val="28"/>
              </w:rPr>
            </w:pPr>
            <w:r>
              <w:rPr>
                <w:rFonts w:ascii="Times New Roman" w:hAnsi="Times New Roman" w:eastAsia="方正仿宋_GBK"/>
                <w:color w:val="000000" w:themeColor="text1"/>
                <w:sz w:val="28"/>
                <w:szCs w:val="28"/>
                <w14:textFill>
                  <w14:solidFill>
                    <w14:schemeClr w14:val="tx1"/>
                  </w14:solidFill>
                </w14:textFill>
              </w:rPr>
              <w:t>投标报价得分＝（评标基准价/投标报价）×价格权重×100。</w:t>
            </w:r>
          </w:p>
        </w:tc>
        <w:tc>
          <w:tcPr>
            <w:tcW w:w="1873" w:type="dxa"/>
            <w:vAlign w:val="center"/>
          </w:tcPr>
          <w:p>
            <w:pPr>
              <w:snapToGrid w:val="0"/>
              <w:spacing w:line="400" w:lineRule="exact"/>
              <w:jc w:val="lef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5" w:type="dxa"/>
            <w:vAlign w:val="center"/>
          </w:tcPr>
          <w:p>
            <w:pPr>
              <w:snapToGri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1559" w:type="dxa"/>
            <w:vAlign w:val="center"/>
          </w:tcPr>
          <w:p>
            <w:pPr>
              <w:snapToGrid w:val="0"/>
              <w:spacing w:line="400" w:lineRule="exact"/>
              <w:ind w:left="-38"/>
              <w:jc w:val="center"/>
              <w:rPr>
                <w:rFonts w:ascii="Times New Roman" w:hAnsi="Times New Roman" w:eastAsia="方正仿宋_GBK"/>
                <w:sz w:val="28"/>
                <w:szCs w:val="28"/>
              </w:rPr>
            </w:pPr>
            <w:r>
              <w:rPr>
                <w:rFonts w:ascii="Times New Roman" w:hAnsi="Times New Roman" w:eastAsia="方正仿宋_GBK"/>
                <w:sz w:val="28"/>
                <w:szCs w:val="28"/>
              </w:rPr>
              <w:t>技术部分</w:t>
            </w:r>
          </w:p>
          <w:p>
            <w:pPr>
              <w:snapToGrid w:val="0"/>
              <w:spacing w:line="400" w:lineRule="exact"/>
              <w:ind w:left="-38"/>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40</w:t>
            </w:r>
            <w:r>
              <w:rPr>
                <w:rFonts w:ascii="Times New Roman" w:hAnsi="Times New Roman" w:eastAsia="方正仿宋_GBK"/>
                <w:sz w:val="28"/>
                <w:szCs w:val="28"/>
              </w:rPr>
              <w:t>%）</w:t>
            </w:r>
          </w:p>
        </w:tc>
        <w:tc>
          <w:tcPr>
            <w:tcW w:w="850" w:type="dxa"/>
            <w:vAlign w:val="center"/>
          </w:tcPr>
          <w:p>
            <w:pPr>
              <w:snapToGrid w:val="0"/>
              <w:spacing w:line="400" w:lineRule="exact"/>
              <w:ind w:left="-38"/>
              <w:jc w:val="center"/>
              <w:rPr>
                <w:rFonts w:ascii="Times New Roman" w:hAnsi="Times New Roman" w:eastAsia="方正仿宋_GBK"/>
                <w:sz w:val="28"/>
                <w:szCs w:val="28"/>
              </w:rPr>
            </w:pPr>
            <w:r>
              <w:rPr>
                <w:rFonts w:hint="eastAsia" w:ascii="Times New Roman" w:hAnsi="Times New Roman" w:eastAsia="方正仿宋_GBK"/>
                <w:sz w:val="28"/>
                <w:szCs w:val="28"/>
              </w:rPr>
              <w:t>40</w:t>
            </w:r>
          </w:p>
        </w:tc>
        <w:tc>
          <w:tcPr>
            <w:tcW w:w="5163" w:type="dxa"/>
            <w:vAlign w:val="center"/>
          </w:tcPr>
          <w:p>
            <w:pPr>
              <w:pStyle w:val="258"/>
              <w:spacing w:line="400" w:lineRule="exact"/>
              <w:ind w:firstLine="560"/>
              <w:jc w:val="left"/>
              <w:rPr>
                <w:rFonts w:ascii="Times New Roman" w:hAnsi="Times New Roman" w:eastAsia="方正仿宋_GBK"/>
                <w:sz w:val="28"/>
                <w:szCs w:val="28"/>
              </w:rPr>
            </w:pPr>
            <w:r>
              <w:rPr>
                <w:rFonts w:hint="eastAsia" w:ascii="Times New Roman" w:hAnsi="Times New Roman" w:eastAsia="方正仿宋_GBK"/>
                <w:sz w:val="28"/>
                <w:szCs w:val="28"/>
              </w:rPr>
              <w:t>完全符合招标“技术参数"要求没有负偏离的得40分；供应商响应文件与招标文件技术参数要求的非实质要求有负偏离的按以下方式计算得分：星号参数带“★”技术参数(共2项)不满足要求或负偏离的每有一项扣5分，扣完为止，非“★"技术参数(共10项)不满足要求或负偏离要求</w:t>
            </w:r>
            <w:r>
              <w:rPr>
                <w:rFonts w:hint="eastAsia" w:ascii="Times New Roman" w:hAnsi="Times New Roman" w:eastAsia="方正仿宋_GBK"/>
                <w:sz w:val="28"/>
                <w:szCs w:val="28"/>
              </w:rPr>
              <w:tab/>
            </w:r>
            <w:r>
              <w:rPr>
                <w:rFonts w:hint="eastAsia" w:ascii="Times New Roman" w:hAnsi="Times New Roman" w:eastAsia="方正仿宋_GBK"/>
                <w:sz w:val="28"/>
                <w:szCs w:val="28"/>
              </w:rPr>
              <w:t>的每有一项扣3分，扣完为止。</w:t>
            </w:r>
          </w:p>
        </w:tc>
        <w:tc>
          <w:tcPr>
            <w:tcW w:w="1873" w:type="dxa"/>
            <w:vAlign w:val="center"/>
          </w:tcPr>
          <w:p>
            <w:pPr>
              <w:snapToGrid w:val="0"/>
              <w:spacing w:line="400" w:lineRule="exact"/>
              <w:jc w:val="left"/>
              <w:rPr>
                <w:rFonts w:ascii="Times New Roman" w:hAnsi="Times New Roman" w:eastAsia="方正仿宋_GBK"/>
                <w:sz w:val="28"/>
                <w:szCs w:val="28"/>
              </w:rPr>
            </w:pPr>
            <w:r>
              <w:rPr>
                <w:rFonts w:hint="eastAsia" w:ascii="Times New Roman" w:hAnsi="Times New Roman" w:eastAsia="方正仿宋_GBK"/>
                <w:color w:val="FF0000"/>
                <w:sz w:val="28"/>
                <w:szCs w:val="28"/>
              </w:rPr>
              <w:t>需提供佐证资料并加盖厂家鲜章</w:t>
            </w:r>
            <w:r>
              <w:rPr>
                <w:rFonts w:hint="eastAsia" w:ascii="Times New Roman" w:hAnsi="Times New Roman" w:eastAsia="方正仿宋_GBK"/>
                <w:sz w:val="28"/>
                <w:szCs w:val="28"/>
              </w:rPr>
              <w:t>。</w:t>
            </w:r>
            <w:r>
              <w:rPr>
                <w:rFonts w:hint="eastAsia" w:ascii="Times New Roman" w:hAnsi="Times New Roman" w:eastAsia="方正仿宋_GBK"/>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5" w:type="dxa"/>
            <w:vAlign w:val="center"/>
          </w:tcPr>
          <w:p>
            <w:pPr>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r>
              <w:rPr>
                <w:rFonts w:hint="eastAsia" w:ascii="Times New Roman" w:hAnsi="Times New Roman" w:eastAsia="方正仿宋_GBK"/>
                <w:color w:val="000000" w:themeColor="text1"/>
                <w:sz w:val="28"/>
                <w:szCs w:val="28"/>
                <w14:textFill>
                  <w14:solidFill>
                    <w14:schemeClr w14:val="tx1"/>
                  </w14:solidFill>
                </w14:textFill>
              </w:rPr>
              <w:t>3</w:t>
            </w:r>
          </w:p>
        </w:tc>
        <w:tc>
          <w:tcPr>
            <w:tcW w:w="1559" w:type="dxa"/>
            <w:vAlign w:val="center"/>
          </w:tcPr>
          <w:p>
            <w:pPr>
              <w:snapToGrid w:val="0"/>
              <w:spacing w:line="400" w:lineRule="exact"/>
              <w:ind w:left="-38"/>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履约能力（</w:t>
            </w:r>
            <w:r>
              <w:rPr>
                <w:rFonts w:hint="eastAsia" w:ascii="Times New Roman" w:hAnsi="Times New Roman" w:eastAsia="方正仿宋_GBK"/>
                <w:color w:val="000000" w:themeColor="text1"/>
                <w:sz w:val="28"/>
                <w:szCs w:val="28"/>
                <w14:textFill>
                  <w14:solidFill>
                    <w14:schemeClr w14:val="tx1"/>
                  </w14:solidFill>
                </w14:textFill>
              </w:rPr>
              <w:t>3</w:t>
            </w:r>
            <w:r>
              <w:rPr>
                <w:rFonts w:ascii="Times New Roman" w:hAnsi="Times New Roman" w:eastAsia="方正仿宋_GBK"/>
                <w:color w:val="000000" w:themeColor="text1"/>
                <w:sz w:val="28"/>
                <w:szCs w:val="28"/>
                <w14:textFill>
                  <w14:solidFill>
                    <w14:schemeClr w14:val="tx1"/>
                  </w14:solidFill>
                </w14:textFill>
              </w:rPr>
              <w:t>%）</w:t>
            </w:r>
          </w:p>
        </w:tc>
        <w:tc>
          <w:tcPr>
            <w:tcW w:w="850" w:type="dxa"/>
            <w:vAlign w:val="center"/>
          </w:tcPr>
          <w:p>
            <w:pPr>
              <w:snapToGrid w:val="0"/>
              <w:spacing w:line="400" w:lineRule="exact"/>
              <w:ind w:left="-38"/>
              <w:jc w:val="center"/>
              <w:rPr>
                <w:rFonts w:ascii="Times New Roman" w:hAnsi="Times New Roman" w:eastAsia="方正仿宋_GBK"/>
                <w:color w:val="000000" w:themeColor="text1"/>
                <w:sz w:val="28"/>
                <w:szCs w:val="28"/>
                <w14:textFill>
                  <w14:solidFill>
                    <w14:schemeClr w14:val="tx1"/>
                  </w14:solidFill>
                </w14:textFill>
              </w:rPr>
            </w:pPr>
            <w:r>
              <w:rPr>
                <w:rFonts w:hint="eastAsia" w:ascii="Times New Roman" w:hAnsi="Times New Roman" w:eastAsia="方正仿宋_GBK"/>
                <w:color w:val="000000" w:themeColor="text1"/>
                <w:sz w:val="28"/>
                <w:szCs w:val="28"/>
                <w14:textFill>
                  <w14:solidFill>
                    <w14:schemeClr w14:val="tx1"/>
                  </w14:solidFill>
                </w14:textFill>
              </w:rPr>
              <w:t>3</w:t>
            </w:r>
          </w:p>
        </w:tc>
        <w:tc>
          <w:tcPr>
            <w:tcW w:w="5163" w:type="dxa"/>
            <w:vAlign w:val="center"/>
          </w:tcPr>
          <w:p>
            <w:pPr>
              <w:spacing w:line="400" w:lineRule="exact"/>
              <w:jc w:val="left"/>
              <w:rPr>
                <w:rFonts w:ascii="Times New Roman" w:hAnsi="Times New Roman" w:eastAsia="方正仿宋_GBK"/>
                <w:color w:val="000000" w:themeColor="text1"/>
                <w:sz w:val="28"/>
                <w:szCs w:val="28"/>
                <w14:textFill>
                  <w14:solidFill>
                    <w14:schemeClr w14:val="tx1"/>
                  </w14:solidFill>
                </w14:textFill>
              </w:rPr>
            </w:pPr>
            <w:r>
              <w:rPr>
                <w:rFonts w:hint="eastAsia" w:ascii="Times New Roman" w:hAnsi="Times New Roman" w:eastAsia="方正仿宋_GBK"/>
                <w:color w:val="000000" w:themeColor="text1"/>
                <w:sz w:val="28"/>
                <w:szCs w:val="28"/>
                <w14:textFill>
                  <w14:solidFill>
                    <w14:schemeClr w14:val="tx1"/>
                  </w14:solidFill>
                </w14:textFill>
              </w:rPr>
              <w:t>投标人提供2020年1月1日以来的类似业绩，每一个得1分，最多得3分。(提供中标通知书或合同予以佐证)</w:t>
            </w:r>
          </w:p>
        </w:tc>
        <w:tc>
          <w:tcPr>
            <w:tcW w:w="1873" w:type="dxa"/>
            <w:vAlign w:val="center"/>
          </w:tcPr>
          <w:p>
            <w:pPr>
              <w:snapToGrid w:val="0"/>
              <w:spacing w:line="400" w:lineRule="exact"/>
              <w:jc w:val="lef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885" w:type="dxa"/>
            <w:vAlign w:val="center"/>
          </w:tcPr>
          <w:p>
            <w:pPr>
              <w:snapToGrid w:val="0"/>
              <w:spacing w:line="400" w:lineRule="exact"/>
              <w:ind w:left="-38"/>
              <w:jc w:val="center"/>
              <w:rPr>
                <w:rFonts w:ascii="Times New Roman" w:hAnsi="Times New Roman" w:eastAsia="方正仿宋_GBK"/>
                <w:sz w:val="28"/>
                <w:szCs w:val="28"/>
              </w:rPr>
            </w:pPr>
            <w:r>
              <w:rPr>
                <w:rFonts w:hint="eastAsia" w:ascii="Times New Roman" w:hAnsi="Times New Roman" w:eastAsia="方正仿宋_GBK"/>
                <w:sz w:val="28"/>
                <w:szCs w:val="28"/>
              </w:rPr>
              <w:t>4</w:t>
            </w:r>
          </w:p>
        </w:tc>
        <w:tc>
          <w:tcPr>
            <w:tcW w:w="1559"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售后部分</w:t>
            </w:r>
            <w:r>
              <w:rPr>
                <w:rFonts w:hint="eastAsia" w:ascii="Times New Roman" w:hAnsi="Times New Roman" w:eastAsia="方正仿宋_GBK"/>
                <w:sz w:val="28"/>
                <w:szCs w:val="28"/>
              </w:rPr>
              <w:t>（12</w:t>
            </w:r>
            <w:r>
              <w:rPr>
                <w:rFonts w:ascii="Times New Roman" w:hAnsi="Times New Roman" w:eastAsia="方正仿宋_GBK"/>
                <w:sz w:val="28"/>
                <w:szCs w:val="28"/>
              </w:rPr>
              <w:t>%</w:t>
            </w:r>
            <w:r>
              <w:rPr>
                <w:rFonts w:hint="eastAsia" w:ascii="Times New Roman" w:hAnsi="Times New Roman" w:eastAsia="方正仿宋_GBK"/>
                <w:sz w:val="28"/>
                <w:szCs w:val="28"/>
              </w:rPr>
              <w:t>）</w:t>
            </w:r>
          </w:p>
        </w:tc>
        <w:tc>
          <w:tcPr>
            <w:tcW w:w="850"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w:t>
            </w:r>
            <w:r>
              <w:rPr>
                <w:rFonts w:hint="eastAsia" w:ascii="Times New Roman" w:hAnsi="Times New Roman" w:eastAsia="方正仿宋_GBK"/>
                <w:sz w:val="28"/>
                <w:szCs w:val="28"/>
              </w:rPr>
              <w:t>2</w:t>
            </w:r>
          </w:p>
        </w:tc>
        <w:tc>
          <w:tcPr>
            <w:tcW w:w="5163" w:type="dxa"/>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根据投标人针对本项目拟定的售后服务方案(包含但不限于:①质保期后的服务范围、②响应时间及时性、③备品备件的送达期限及备品备件的后续供应、④现场服务支持能力。)每有一方面方案内容表述</w:t>
            </w:r>
          </w:p>
          <w:p>
            <w:pPr>
              <w:spacing w:line="400" w:lineRule="exact"/>
              <w:jc w:val="left"/>
            </w:pPr>
            <w:r>
              <w:rPr>
                <w:rFonts w:hint="eastAsia" w:ascii="Times New Roman" w:hAnsi="Times New Roman" w:eastAsia="方正仿宋_GBK"/>
                <w:sz w:val="28"/>
                <w:szCs w:val="28"/>
              </w:rPr>
              <w:t>规范、清楚明了、含义准确，满足项目实际需求的得3分，本项最多得12分。每一方面方案内容缺失的扣3分，每一方面方案内容中每有一处存在错误或不足的扣1分，分值扣完为止。</w:t>
            </w:r>
          </w:p>
          <w:p>
            <w:pPr>
              <w:spacing w:line="400" w:lineRule="exact"/>
              <w:jc w:val="left"/>
            </w:pPr>
          </w:p>
        </w:tc>
        <w:tc>
          <w:tcPr>
            <w:tcW w:w="1873" w:type="dxa"/>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错误或不足是指:只是简单的复制采购需求内容而没有具体详细阐述、存在凭空</w:t>
            </w:r>
          </w:p>
          <w:p>
            <w:pPr>
              <w:spacing w:line="400" w:lineRule="exact"/>
              <w:jc w:val="left"/>
            </w:pPr>
            <w:r>
              <w:rPr>
                <w:rFonts w:hint="eastAsia" w:ascii="Times New Roman" w:hAnsi="Times New Roman" w:eastAsia="方正仿宋_GBK"/>
                <w:sz w:val="28"/>
                <w:szCs w:val="28"/>
              </w:rPr>
              <w:t>编造、方案内容前后矛盾、前后逻辑错误，涉及的规范及标准错误，项目信息错误，方案内容缺乏落地执行等任意一种情形。</w:t>
            </w:r>
          </w:p>
        </w:tc>
      </w:tr>
    </w:tbl>
    <w:p>
      <w:pPr>
        <w:widowControl/>
        <w:spacing w:line="594" w:lineRule="exact"/>
        <w:ind w:firstLine="640" w:firstLineChars="200"/>
        <w:jc w:val="left"/>
        <w:rPr>
          <w:rFonts w:ascii="方正黑体_GBK" w:hAnsi="Times New Roman" w:eastAsia="方正黑体_GBK"/>
          <w:bCs/>
          <w:color w:val="000000"/>
          <w:kern w:val="0"/>
          <w:sz w:val="32"/>
          <w:szCs w:val="32"/>
        </w:rPr>
      </w:pPr>
      <w:bookmarkStart w:id="42" w:name="_Toc31745"/>
      <w:bookmarkStart w:id="43" w:name="_Toc493506301"/>
      <w:r>
        <w:rPr>
          <w:rFonts w:ascii="方正黑体_GBK" w:hAnsi="Times New Roman" w:eastAsia="方正黑体_GBK"/>
          <w:bCs/>
          <w:color w:val="000000"/>
          <w:kern w:val="0"/>
          <w:sz w:val="32"/>
          <w:szCs w:val="32"/>
        </w:rPr>
        <w:t>十一、无效投标条款</w:t>
      </w:r>
      <w:bookmarkEnd w:id="42"/>
      <w:bookmarkEnd w:id="43"/>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投标人或其投标文件出现下列情况之一者，应为无效投标：</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（一）未按照招标文件的规定提交投标保证金的；</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（二）投标文件未按招标文件要求签署、盖章的；</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（三）不具备招标文件中规定的资格要求的；</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 xml:space="preserve">（四）报价超过招标文件中规定的预算金额或者最高限价的； </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（五）投标文件含有采购人不能接受的附加条件的；</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（六）投标人串通投标的；</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（七）法律、法规和招标文件规定的其他无效情形。</w:t>
      </w:r>
    </w:p>
    <w:p>
      <w:pPr>
        <w:widowControl/>
        <w:spacing w:line="594" w:lineRule="exact"/>
        <w:ind w:firstLine="640" w:firstLineChars="200"/>
        <w:jc w:val="left"/>
        <w:rPr>
          <w:rFonts w:ascii="方正黑体_GBK" w:hAnsi="Times New Roman" w:eastAsia="方正黑体_GBK"/>
          <w:bCs/>
          <w:color w:val="000000"/>
          <w:kern w:val="0"/>
          <w:sz w:val="32"/>
          <w:szCs w:val="32"/>
        </w:rPr>
      </w:pPr>
      <w:r>
        <w:rPr>
          <w:rFonts w:ascii="方正黑体_GBK" w:hAnsi="Times New Roman" w:eastAsia="方正黑体_GBK"/>
          <w:bCs/>
          <w:color w:val="000000"/>
          <w:kern w:val="0"/>
          <w:sz w:val="32"/>
          <w:szCs w:val="32"/>
        </w:rPr>
        <w:t>十二、定标</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（一）</w:t>
      </w:r>
      <w:r>
        <w:rPr>
          <w:rFonts w:ascii="Times New Roman" w:hAnsi="Times New Roman" w:eastAsia="方正仿宋_GBK"/>
          <w:sz w:val="32"/>
          <w:szCs w:val="32"/>
        </w:rPr>
        <w:t>采购人评标委员会按照评标报告中</w:t>
      </w:r>
      <w:r>
        <w:rPr>
          <w:rFonts w:hint="eastAsia" w:ascii="Times New Roman" w:hAnsi="Times New Roman" w:eastAsia="方正仿宋_GBK"/>
          <w:sz w:val="32"/>
          <w:szCs w:val="32"/>
        </w:rPr>
        <w:t>得分由高到低的顺序推荐综合得分排名前三的投标人为本项目的中标候选人，排名第一的为第一中标候选人。得分相同的，按投标报价由低到高顺序排列。得分且投标报价相同的由服务部分得分由高到低顺序排列。</w:t>
      </w:r>
    </w:p>
    <w:p>
      <w:pPr>
        <w:pStyle w:val="31"/>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（二）</w:t>
      </w:r>
      <w:r>
        <w:rPr>
          <w:rFonts w:ascii="Times New Roman" w:hAnsi="Times New Roman" w:eastAsia="方正仿宋_GBK"/>
          <w:sz w:val="32"/>
          <w:szCs w:val="32"/>
        </w:rPr>
        <w:t>中标人变更</w:t>
      </w:r>
    </w:p>
    <w:p>
      <w:pPr>
        <w:pStyle w:val="31"/>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中标人拒绝与采购人签订合同的，采购人可以按照评标报告推荐的中标候选人顺序，确定排名下一位的候选人为中标人，也可以重新开展采购活动。</w:t>
      </w:r>
    </w:p>
    <w:p>
      <w:pPr>
        <w:widowControl/>
        <w:spacing w:line="594" w:lineRule="exact"/>
        <w:ind w:firstLine="640" w:firstLineChars="200"/>
        <w:jc w:val="left"/>
        <w:rPr>
          <w:rFonts w:ascii="方正黑体_GBK" w:hAnsi="Times New Roman" w:eastAsia="方正黑体_GBK"/>
          <w:bCs/>
          <w:color w:val="000000"/>
          <w:kern w:val="0"/>
          <w:sz w:val="32"/>
          <w:szCs w:val="32"/>
        </w:rPr>
      </w:pPr>
      <w:r>
        <w:rPr>
          <w:rFonts w:ascii="方正黑体_GBK" w:hAnsi="Times New Roman" w:eastAsia="方正黑体_GBK"/>
          <w:bCs/>
          <w:color w:val="000000"/>
          <w:kern w:val="0"/>
          <w:sz w:val="32"/>
          <w:szCs w:val="32"/>
        </w:rPr>
        <w:t>十三、投标人须知</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（一）</w:t>
      </w:r>
      <w:r>
        <w:rPr>
          <w:rFonts w:ascii="Times New Roman" w:hAnsi="Times New Roman" w:eastAsia="方正仿宋_GBK"/>
          <w:sz w:val="32"/>
          <w:szCs w:val="32"/>
        </w:rPr>
        <w:t>投标人没有按照招标文件要求提供全部资料，或者投标人没有对招标文件在各方面作出实质性响应，可能导致投标被拒绝或评定为无效投标。</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（二）</w:t>
      </w:r>
      <w:r>
        <w:rPr>
          <w:rFonts w:ascii="Times New Roman" w:hAnsi="Times New Roman" w:eastAsia="方正仿宋_GBK"/>
          <w:sz w:val="32"/>
          <w:szCs w:val="32"/>
        </w:rPr>
        <w:t>投标人提供虚假证明材料的经采购人核实，将会评定为无效投标</w:t>
      </w:r>
      <w:r>
        <w:rPr>
          <w:rFonts w:hint="eastAsia" w:ascii="Times New Roman" w:hAnsi="Times New Roman" w:eastAsia="方正仿宋_GBK"/>
          <w:sz w:val="32"/>
          <w:szCs w:val="32"/>
        </w:rPr>
        <w:t>。</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（三）签订合同前，采购人有权要求</w:t>
      </w:r>
      <w:r>
        <w:rPr>
          <w:rFonts w:ascii="Times New Roman" w:hAnsi="Times New Roman" w:eastAsia="方正仿宋_GBK"/>
          <w:sz w:val="32"/>
          <w:szCs w:val="32"/>
        </w:rPr>
        <w:t>中标人提供</w:t>
      </w:r>
      <w:r>
        <w:rPr>
          <w:rFonts w:hint="eastAsia" w:ascii="Times New Roman" w:hAnsi="Times New Roman" w:eastAsia="方正仿宋_GBK"/>
          <w:sz w:val="32"/>
          <w:szCs w:val="32"/>
        </w:rPr>
        <w:t>投标文件中各类证明材料的原件，如</w:t>
      </w:r>
      <w:r>
        <w:rPr>
          <w:rFonts w:ascii="Times New Roman" w:hAnsi="Times New Roman" w:eastAsia="方正仿宋_GBK"/>
          <w:sz w:val="32"/>
          <w:szCs w:val="32"/>
        </w:rPr>
        <w:t>中标人</w:t>
      </w:r>
      <w:r>
        <w:rPr>
          <w:rFonts w:hint="eastAsia" w:ascii="Times New Roman" w:hAnsi="Times New Roman" w:eastAsia="方正仿宋_GBK"/>
          <w:sz w:val="32"/>
          <w:szCs w:val="32"/>
        </w:rPr>
        <w:t>提供</w:t>
      </w:r>
      <w:r>
        <w:rPr>
          <w:rFonts w:ascii="Times New Roman" w:hAnsi="Times New Roman" w:eastAsia="方正仿宋_GBK"/>
          <w:sz w:val="32"/>
          <w:szCs w:val="32"/>
        </w:rPr>
        <w:t>虚假证明材料的经采购人核实，</w:t>
      </w:r>
      <w:r>
        <w:rPr>
          <w:rFonts w:hint="eastAsia" w:ascii="Times New Roman" w:hAnsi="Times New Roman" w:eastAsia="方正仿宋_GBK"/>
          <w:sz w:val="32"/>
          <w:szCs w:val="32"/>
        </w:rPr>
        <w:t>采购人</w:t>
      </w:r>
      <w:r>
        <w:rPr>
          <w:rFonts w:ascii="Times New Roman" w:hAnsi="Times New Roman" w:eastAsia="方正仿宋_GBK"/>
          <w:sz w:val="32"/>
          <w:szCs w:val="32"/>
        </w:rPr>
        <w:t>可取消其中标资格。</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（四）</w:t>
      </w:r>
      <w:r>
        <w:rPr>
          <w:rFonts w:ascii="Times New Roman" w:hAnsi="Times New Roman" w:eastAsia="方正仿宋_GBK"/>
          <w:sz w:val="32"/>
          <w:szCs w:val="32"/>
        </w:rPr>
        <w:t>投标人有下列情形之一的，采购人可以不退还投标保证金：</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投标人在投标有效期撤回投标文件的；</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投标人未按规定提交履约保证金的；</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投标人在投标过程中弄虚作假，提供虚假材料的；</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中标人无正当理由不与采购人签订合同的；</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中标人将中标项目转让给他人或者在投标文件中未说明且未经采购人同意，将中标项目分包给他人的；</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中标人拒绝履行合同义务的；</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7、</w:t>
      </w:r>
      <w:r>
        <w:rPr>
          <w:rFonts w:ascii="Times New Roman" w:hAnsi="Times New Roman" w:eastAsia="方正仿宋_GBK"/>
          <w:sz w:val="32"/>
          <w:szCs w:val="32"/>
        </w:rPr>
        <w:t>其他严重扰乱招投标程序的。</w:t>
      </w:r>
    </w:p>
    <w:p>
      <w:pPr>
        <w:pStyle w:val="31"/>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（五）</w:t>
      </w:r>
      <w:r>
        <w:rPr>
          <w:rFonts w:ascii="Times New Roman" w:hAnsi="Times New Roman" w:eastAsia="方正仿宋_GBK"/>
          <w:sz w:val="32"/>
          <w:szCs w:val="32"/>
        </w:rPr>
        <w:t>质疑</w:t>
      </w:r>
    </w:p>
    <w:p>
      <w:pPr>
        <w:adjustRightInd w:val="0"/>
        <w:snapToGrid w:val="0"/>
        <w:spacing w:line="594" w:lineRule="exact"/>
        <w:ind w:firstLine="640" w:firstLineChars="200"/>
        <w:jc w:val="left"/>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kern w:val="0"/>
          <w:sz w:val="32"/>
          <w:szCs w:val="32"/>
        </w:rPr>
        <w:t>质疑人以书面形式提出质疑，本人或其授权代表持有效身证到</w:t>
      </w:r>
      <w:r>
        <w:rPr>
          <w:rFonts w:ascii="Times New Roman" w:hAnsi="Times New Roman" w:eastAsia="方正仿宋_GBK"/>
          <w:color w:val="000000" w:themeColor="text1"/>
          <w:kern w:val="0"/>
          <w:sz w:val="32"/>
          <w:szCs w:val="32"/>
          <w14:textFill>
            <w14:solidFill>
              <w14:schemeClr w14:val="tx1"/>
            </w14:solidFill>
          </w14:textFill>
        </w:rPr>
        <w:t>质疑联系部门</w:t>
      </w:r>
      <w:r>
        <w:rPr>
          <w:rFonts w:ascii="Times New Roman" w:hAnsi="Times New Roman" w:eastAsia="方正仿宋_GBK"/>
          <w:kern w:val="0"/>
          <w:sz w:val="32"/>
          <w:szCs w:val="32"/>
        </w:rPr>
        <w:t>现场递交质疑函原件。提出质疑的应当是参与所质疑项目采购活动的投标人。投标人对招标文件提出质疑的，</w:t>
      </w:r>
      <w:r>
        <w:rPr>
          <w:rFonts w:ascii="Times New Roman" w:hAnsi="Times New Roman" w:eastAsia="方正仿宋_GBK"/>
          <w:color w:val="000000" w:themeColor="text1"/>
          <w:kern w:val="0"/>
          <w:sz w:val="32"/>
          <w:szCs w:val="32"/>
          <w14:textFill>
            <w14:solidFill>
              <w14:schemeClr w14:val="tx1"/>
            </w14:solidFill>
          </w14:textFill>
        </w:rPr>
        <w:t>应在</w:t>
      </w:r>
      <w:r>
        <w:rPr>
          <w:rFonts w:ascii="Times New Roman" w:hAnsi="Times New Roman" w:eastAsia="方正仿宋_GBK"/>
          <w:kern w:val="0"/>
          <w:sz w:val="32"/>
          <w:szCs w:val="32"/>
        </w:rPr>
        <w:t>2023年</w:t>
      </w:r>
      <w:r>
        <w:rPr>
          <w:rFonts w:hint="eastAsia" w:ascii="Times New Roman" w:hAnsi="Times New Roman" w:eastAsia="方正仿宋_GBK"/>
          <w:kern w:val="0"/>
          <w:sz w:val="32"/>
          <w:szCs w:val="32"/>
        </w:rPr>
        <w:t>12</w:t>
      </w:r>
      <w:r>
        <w:rPr>
          <w:rFonts w:ascii="Times New Roman" w:hAnsi="Times New Roman" w:eastAsia="方正仿宋_GBK"/>
          <w:kern w:val="0"/>
          <w:sz w:val="32"/>
          <w:szCs w:val="32"/>
        </w:rPr>
        <w:t>月</w:t>
      </w:r>
      <w:r>
        <w:rPr>
          <w:rFonts w:hint="eastAsia" w:ascii="Times New Roman" w:hAnsi="Times New Roman" w:eastAsia="方正仿宋_GBK"/>
          <w:kern w:val="0"/>
          <w:sz w:val="32"/>
          <w:szCs w:val="32"/>
        </w:rPr>
        <w:t>25</w:t>
      </w:r>
      <w:r>
        <w:rPr>
          <w:rFonts w:ascii="Times New Roman" w:hAnsi="Times New Roman" w:eastAsia="方正仿宋_GBK"/>
          <w:kern w:val="0"/>
          <w:sz w:val="32"/>
          <w:szCs w:val="32"/>
        </w:rPr>
        <w:t>日</w:t>
      </w:r>
      <w:r>
        <w:rPr>
          <w:rFonts w:hint="eastAsia" w:ascii="Times New Roman" w:hAnsi="Times New Roman" w:eastAsia="方正仿宋_GBK"/>
          <w:kern w:val="0"/>
          <w:sz w:val="32"/>
          <w:szCs w:val="32"/>
          <w:lang w:val="en-US" w:eastAsia="zh-CN"/>
        </w:rPr>
        <w:t>17</w:t>
      </w:r>
      <w:r>
        <w:rPr>
          <w:rFonts w:hint="eastAsia" w:ascii="Times New Roman" w:hAnsi="Times New Roman" w:eastAsia="方正仿宋_GBK"/>
          <w:kern w:val="0"/>
          <w:sz w:val="32"/>
          <w:szCs w:val="32"/>
        </w:rPr>
        <w:t>:</w:t>
      </w:r>
      <w:r>
        <w:rPr>
          <w:rFonts w:hint="eastAsia" w:ascii="Times New Roman" w:hAnsi="Times New Roman" w:eastAsia="方正仿宋_GBK"/>
          <w:kern w:val="0"/>
          <w:sz w:val="32"/>
          <w:szCs w:val="32"/>
          <w:lang w:val="en-US" w:eastAsia="zh-CN"/>
        </w:rPr>
        <w:t>3</w:t>
      </w:r>
      <w:bookmarkStart w:id="44" w:name="_GoBack"/>
      <w:bookmarkEnd w:id="44"/>
      <w:r>
        <w:rPr>
          <w:rFonts w:hint="eastAsia" w:ascii="Times New Roman" w:hAnsi="Times New Roman" w:eastAsia="方正仿宋_GBK"/>
          <w:kern w:val="0"/>
          <w:sz w:val="32"/>
          <w:szCs w:val="32"/>
        </w:rPr>
        <w:t>0</w:t>
      </w:r>
      <w:r>
        <w:rPr>
          <w:rFonts w:ascii="Times New Roman" w:hAnsi="Times New Roman" w:eastAsia="方正仿宋_GBK"/>
          <w:color w:val="000000" w:themeColor="text1"/>
          <w:kern w:val="0"/>
          <w:sz w:val="32"/>
          <w:szCs w:val="32"/>
          <w14:textFill>
            <w14:solidFill>
              <w14:schemeClr w14:val="tx1"/>
            </w14:solidFill>
          </w14:textFill>
        </w:rPr>
        <w:t>前</w:t>
      </w:r>
      <w:r>
        <w:rPr>
          <w:rFonts w:ascii="Times New Roman" w:hAnsi="Times New Roman" w:eastAsia="方正仿宋_GBK"/>
          <w:color w:val="000000" w:themeColor="text1"/>
          <w:sz w:val="32"/>
          <w:szCs w:val="32"/>
          <w14:textFill>
            <w14:solidFill>
              <w14:schemeClr w14:val="tx1"/>
            </w14:solidFill>
          </w14:textFill>
        </w:rPr>
        <w:t>以书面形式</w:t>
      </w:r>
      <w:r>
        <w:rPr>
          <w:rFonts w:hint="eastAsia" w:ascii="Times New Roman" w:hAnsi="Times New Roman" w:eastAsia="方正仿宋_GBK"/>
          <w:color w:val="000000" w:themeColor="text1"/>
          <w:kern w:val="0"/>
          <w:sz w:val="32"/>
          <w:szCs w:val="32"/>
          <w14:textFill>
            <w14:solidFill>
              <w14:schemeClr w14:val="tx1"/>
            </w14:solidFill>
          </w14:textFill>
        </w:rPr>
        <w:t>递交</w:t>
      </w:r>
      <w:r>
        <w:rPr>
          <w:rFonts w:ascii="Times New Roman" w:hAnsi="Times New Roman" w:eastAsia="方正仿宋_GBK"/>
          <w:color w:val="000000" w:themeColor="text1"/>
          <w:kern w:val="0"/>
          <w:sz w:val="32"/>
          <w:szCs w:val="32"/>
          <w14:textFill>
            <w14:solidFill>
              <w14:schemeClr w14:val="tx1"/>
            </w14:solidFill>
          </w14:textFill>
        </w:rPr>
        <w:t>。</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投标人提出质疑应当提交质疑函和必要的证明材料，质疑函应当包括下列内容：</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1、</w:t>
      </w:r>
      <w:r>
        <w:rPr>
          <w:rFonts w:ascii="Times New Roman" w:hAnsi="Times New Roman" w:eastAsia="方正仿宋_GBK"/>
          <w:kern w:val="0"/>
          <w:sz w:val="32"/>
          <w:szCs w:val="32"/>
        </w:rPr>
        <w:t>供应商的姓名或者名称、地址、邮编、联系人及联系电话；</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2、</w:t>
      </w:r>
      <w:r>
        <w:rPr>
          <w:rFonts w:ascii="Times New Roman" w:hAnsi="Times New Roman" w:eastAsia="方正仿宋_GBK"/>
          <w:kern w:val="0"/>
          <w:sz w:val="32"/>
          <w:szCs w:val="32"/>
        </w:rPr>
        <w:t>质疑项目的名称；</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3、</w:t>
      </w:r>
      <w:r>
        <w:rPr>
          <w:rFonts w:ascii="Times New Roman" w:hAnsi="Times New Roman" w:eastAsia="方正仿宋_GBK"/>
          <w:kern w:val="0"/>
          <w:sz w:val="32"/>
          <w:szCs w:val="32"/>
        </w:rPr>
        <w:t>具体、明确的质疑事项和与质疑事项相关的请求；</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4、</w:t>
      </w:r>
      <w:r>
        <w:rPr>
          <w:rFonts w:ascii="Times New Roman" w:hAnsi="Times New Roman" w:eastAsia="方正仿宋_GBK"/>
          <w:kern w:val="0"/>
          <w:sz w:val="32"/>
          <w:szCs w:val="32"/>
        </w:rPr>
        <w:t>事实依据；</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5、</w:t>
      </w:r>
      <w:r>
        <w:rPr>
          <w:rFonts w:ascii="Times New Roman" w:hAnsi="Times New Roman" w:eastAsia="方正仿宋_GBK"/>
          <w:kern w:val="0"/>
          <w:sz w:val="32"/>
          <w:szCs w:val="32"/>
        </w:rPr>
        <w:t>必要的法律依据；</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6、</w:t>
      </w:r>
      <w:r>
        <w:rPr>
          <w:rFonts w:ascii="Times New Roman" w:hAnsi="Times New Roman" w:eastAsia="方正仿宋_GBK"/>
          <w:kern w:val="0"/>
          <w:sz w:val="32"/>
          <w:szCs w:val="32"/>
        </w:rPr>
        <w:t>提出质疑的日期；</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7、</w:t>
      </w:r>
      <w:r>
        <w:rPr>
          <w:rFonts w:ascii="Times New Roman" w:hAnsi="Times New Roman" w:eastAsia="方正仿宋_GBK"/>
          <w:kern w:val="0"/>
          <w:sz w:val="32"/>
          <w:szCs w:val="32"/>
        </w:rPr>
        <w:t>营业执照（或事业单位法人证书，或个体工商户营业执照或有效的自然人身份证明）复印件；</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8、</w:t>
      </w:r>
      <w:r>
        <w:rPr>
          <w:rFonts w:ascii="Times New Roman" w:hAnsi="Times New Roman" w:eastAsia="方正仿宋_GBK"/>
          <w:kern w:val="0"/>
          <w:sz w:val="32"/>
          <w:szCs w:val="32"/>
        </w:rPr>
        <w:t>法定代表人授权委托书原件、法定代表人身份证复印件和其授权代表的身份证复印件（供应商为自然人的提供自然人身份证复印件）；</w:t>
      </w:r>
    </w:p>
    <w:p>
      <w:pPr>
        <w:snapToGrid w:val="0"/>
        <w:spacing w:line="594"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9、</w:t>
      </w:r>
      <w:r>
        <w:rPr>
          <w:rFonts w:ascii="Times New Roman" w:hAnsi="Times New Roman" w:eastAsia="方正仿宋_GBK"/>
          <w:kern w:val="0"/>
          <w:sz w:val="32"/>
          <w:szCs w:val="32"/>
        </w:rPr>
        <w:t>供应商为自然人的，质疑函应当由本人签字；供应商为法人或者其他组织的，质疑函应当由法定代表人、主要负责人，或者其授权代表签字或者盖章，并加盖公章。</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（六）</w:t>
      </w:r>
      <w:r>
        <w:rPr>
          <w:rFonts w:ascii="Times New Roman" w:hAnsi="Times New Roman" w:eastAsia="方正仿宋_GBK"/>
          <w:sz w:val="32"/>
          <w:szCs w:val="32"/>
        </w:rPr>
        <w:t>质疑答复</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采购人应当在开标前作出答复，并以书面形式通知质疑投标人和其他有关投标人。</w:t>
      </w:r>
    </w:p>
    <w:p>
      <w:pPr>
        <w:adjustRightInd w:val="0"/>
        <w:snapToGrid w:val="0"/>
        <w:spacing w:line="594" w:lineRule="exact"/>
        <w:ind w:firstLine="640" w:firstLineChars="200"/>
        <w:jc w:val="left"/>
        <w:rPr>
          <w:rFonts w:ascii="Times New Roman" w:hAnsi="Times New Roman" w:eastAsia="方正仿宋_GBK"/>
          <w:kern w:val="0"/>
          <w:sz w:val="32"/>
          <w:szCs w:val="32"/>
        </w:rPr>
      </w:pPr>
    </w:p>
    <w:p>
      <w:pPr>
        <w:pStyle w:val="67"/>
        <w:spacing w:line="594" w:lineRule="exact"/>
        <w:ind w:firstLine="640" w:firstLineChars="200"/>
        <w:rPr>
          <w:rFonts w:ascii="Times New Roman" w:eastAsia="方正仿宋_GBK"/>
          <w:sz w:val="32"/>
          <w:szCs w:val="32"/>
        </w:rPr>
      </w:pPr>
      <w:r>
        <w:rPr>
          <w:rFonts w:ascii="Times New Roman" w:eastAsia="方正仿宋_GBK"/>
          <w:sz w:val="32"/>
          <w:szCs w:val="32"/>
        </w:rPr>
        <w:br w:type="page"/>
      </w:r>
    </w:p>
    <w:p>
      <w:pPr>
        <w:spacing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（一）开标一览表</w:t>
      </w:r>
    </w:p>
    <w:p>
      <w:pPr>
        <w:spacing w:line="594" w:lineRule="exact"/>
        <w:rPr>
          <w:rFonts w:ascii="Times New Roman" w:hAnsi="Times New Roman" w:eastAsia="方正仿宋_GBK"/>
          <w:sz w:val="32"/>
          <w:szCs w:val="32"/>
        </w:rPr>
      </w:pPr>
      <w:r>
        <w:rPr>
          <w:rFonts w:ascii="Times New Roman" w:hAnsi="Times New Roman" w:eastAsia="方正仿宋_GBK"/>
          <w:sz w:val="32"/>
          <w:szCs w:val="32"/>
        </w:rPr>
        <w:t>招标项目名称：</w:t>
      </w:r>
    </w:p>
    <w:tbl>
      <w:tblPr>
        <w:tblStyle w:val="5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5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51" w:type="dxa"/>
            <w:vAlign w:val="center"/>
          </w:tcPr>
          <w:p>
            <w:pPr>
              <w:spacing w:line="594" w:lineRule="exact"/>
              <w:jc w:val="center"/>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投标人名称</w:t>
            </w:r>
          </w:p>
        </w:tc>
        <w:tc>
          <w:tcPr>
            <w:tcW w:w="7542" w:type="dxa"/>
            <w:gridSpan w:val="2"/>
            <w:vAlign w:val="center"/>
          </w:tcPr>
          <w:p>
            <w:pPr>
              <w:spacing w:line="594" w:lineRule="exact"/>
              <w:ind w:firstLine="640" w:firstLineChars="200"/>
              <w:jc w:val="center"/>
              <w:rPr>
                <w:rFonts w:ascii="Times New Roman" w:hAnsi="Times New Roman" w:eastAsia="方正仿宋_GBK"/>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51" w:type="dxa"/>
            <w:vAlign w:val="center"/>
          </w:tcPr>
          <w:p>
            <w:pPr>
              <w:spacing w:line="594" w:lineRule="exact"/>
              <w:jc w:val="center"/>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序号</w:t>
            </w:r>
          </w:p>
        </w:tc>
        <w:tc>
          <w:tcPr>
            <w:tcW w:w="1985" w:type="dxa"/>
            <w:vAlign w:val="center"/>
          </w:tcPr>
          <w:p>
            <w:pPr>
              <w:spacing w:line="594" w:lineRule="exact"/>
              <w:jc w:val="center"/>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项目名称</w:t>
            </w:r>
          </w:p>
        </w:tc>
        <w:tc>
          <w:tcPr>
            <w:tcW w:w="5557" w:type="dxa"/>
            <w:vAlign w:val="center"/>
          </w:tcPr>
          <w:p>
            <w:pPr>
              <w:spacing w:line="594" w:lineRule="exact"/>
              <w:jc w:val="center"/>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51" w:type="dxa"/>
            <w:tcBorders>
              <w:bottom w:val="single" w:color="auto" w:sz="4" w:space="0"/>
            </w:tcBorders>
            <w:vAlign w:val="center"/>
          </w:tcPr>
          <w:p>
            <w:pPr>
              <w:spacing w:line="594" w:lineRule="exact"/>
              <w:ind w:firstLine="640" w:firstLineChars="200"/>
              <w:jc w:val="center"/>
              <w:rPr>
                <w:rFonts w:ascii="Times New Roman" w:hAnsi="Times New Roman" w:eastAsia="方正仿宋_GBK"/>
                <w:color w:val="000000" w:themeColor="text1"/>
                <w:sz w:val="32"/>
                <w:szCs w:val="32"/>
                <w14:textFill>
                  <w14:solidFill>
                    <w14:schemeClr w14:val="tx1"/>
                  </w14:solidFill>
                </w14:textFill>
              </w:rPr>
            </w:pPr>
          </w:p>
        </w:tc>
        <w:tc>
          <w:tcPr>
            <w:tcW w:w="1985" w:type="dxa"/>
            <w:tcBorders>
              <w:bottom w:val="single" w:color="auto" w:sz="4" w:space="0"/>
            </w:tcBorders>
          </w:tcPr>
          <w:p>
            <w:pPr>
              <w:spacing w:line="594" w:lineRule="exact"/>
              <w:ind w:firstLine="640" w:firstLineChars="200"/>
              <w:jc w:val="center"/>
              <w:rPr>
                <w:rFonts w:ascii="Times New Roman" w:hAnsi="Times New Roman" w:eastAsia="方正仿宋_GBK"/>
                <w:color w:val="000000" w:themeColor="text1"/>
                <w:sz w:val="32"/>
                <w:szCs w:val="32"/>
                <w14:textFill>
                  <w14:solidFill>
                    <w14:schemeClr w14:val="tx1"/>
                  </w14:solidFill>
                </w14:textFill>
              </w:rPr>
            </w:pPr>
          </w:p>
        </w:tc>
        <w:tc>
          <w:tcPr>
            <w:tcW w:w="5557" w:type="dxa"/>
            <w:tcBorders>
              <w:bottom w:val="single" w:color="auto" w:sz="4" w:space="0"/>
            </w:tcBorders>
          </w:tcPr>
          <w:p>
            <w:pPr>
              <w:spacing w:line="594"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93" w:type="dxa"/>
            <w:gridSpan w:val="3"/>
            <w:tcBorders>
              <w:bottom w:val="single" w:color="auto" w:sz="4" w:space="0"/>
            </w:tcBorders>
            <w:vAlign w:val="center"/>
          </w:tcPr>
          <w:p>
            <w:pPr>
              <w:spacing w:line="594"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93" w:type="dxa"/>
            <w:gridSpan w:val="3"/>
            <w:vAlign w:val="center"/>
          </w:tcPr>
          <w:p>
            <w:pPr>
              <w:spacing w:line="594"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备注： </w:t>
            </w:r>
          </w:p>
        </w:tc>
      </w:tr>
    </w:tbl>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投标人：                    法定代表人/授权代表</w:t>
      </w:r>
      <w:r>
        <w:rPr>
          <w:rFonts w:hint="eastAsia" w:ascii="Times New Roman" w:hAnsi="Times New Roman" w:eastAsia="方正仿宋_GBK"/>
          <w:sz w:val="32"/>
          <w:szCs w:val="32"/>
        </w:rPr>
        <w:t>：</w:t>
      </w:r>
    </w:p>
    <w:p>
      <w:pPr>
        <w:spacing w:line="594" w:lineRule="exact"/>
        <w:rPr>
          <w:rFonts w:ascii="Times New Roman" w:hAnsi="Times New Roman" w:eastAsia="方正仿宋_GBK"/>
          <w:sz w:val="32"/>
          <w:szCs w:val="32"/>
        </w:rPr>
      </w:pPr>
      <w:r>
        <w:rPr>
          <w:rFonts w:ascii="Times New Roman" w:hAnsi="Times New Roman" w:eastAsia="方正仿宋_GBK"/>
          <w:sz w:val="32"/>
          <w:szCs w:val="32"/>
        </w:rPr>
        <w:t xml:space="preserve">（投标人公章）                     （签字或盖章）                                    </w:t>
      </w: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年    月    日</w:t>
      </w:r>
    </w:p>
    <w:p>
      <w:pPr>
        <w:snapToGrid w:val="0"/>
        <w:spacing w:line="594" w:lineRule="exact"/>
        <w:ind w:firstLine="640" w:firstLineChars="200"/>
        <w:rPr>
          <w:rFonts w:ascii="Times New Roman" w:hAnsi="Times New Roman" w:eastAsia="方正仿宋_GBK"/>
          <w:sz w:val="32"/>
          <w:szCs w:val="32"/>
        </w:rPr>
      </w:pPr>
    </w:p>
    <w:p>
      <w:pPr>
        <w:snapToGrid w:val="0"/>
        <w:spacing w:line="594" w:lineRule="exact"/>
        <w:ind w:firstLine="640" w:firstLineChars="200"/>
        <w:rPr>
          <w:rFonts w:ascii="Times New Roman" w:hAnsi="Times New Roman" w:eastAsia="方正仿宋_GBK"/>
          <w:sz w:val="32"/>
          <w:szCs w:val="32"/>
        </w:rPr>
      </w:pPr>
    </w:p>
    <w:p>
      <w:pPr>
        <w:snapToGrid w:val="0"/>
        <w:spacing w:line="594" w:lineRule="exact"/>
        <w:ind w:firstLine="640" w:firstLineChars="200"/>
        <w:rPr>
          <w:rFonts w:ascii="Times New Roman" w:hAnsi="Times New Roman" w:eastAsia="方正仿宋_GBK"/>
          <w:sz w:val="32"/>
          <w:szCs w:val="32"/>
        </w:rPr>
      </w:pPr>
    </w:p>
    <w:p>
      <w:pPr>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说明：</w:t>
      </w:r>
    </w:p>
    <w:p>
      <w:pPr>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1.开标一览表按格式填列；</w:t>
      </w:r>
    </w:p>
    <w:p>
      <w:pPr>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2.开标一览表在开标大会上当众宣读，务必填写清楚，准确无误。</w:t>
      </w:r>
    </w:p>
    <w:p>
      <w:pPr>
        <w:pStyle w:val="2"/>
        <w:spacing w:after="0" w:line="594" w:lineRule="exact"/>
        <w:ind w:firstLine="640"/>
        <w:rPr>
          <w:rFonts w:ascii="Times New Roman" w:hAnsi="Times New Roman" w:eastAsia="方正仿宋_GBK"/>
          <w:sz w:val="32"/>
          <w:szCs w:val="32"/>
        </w:rPr>
      </w:pPr>
      <w:r>
        <w:rPr>
          <w:rFonts w:ascii="Times New Roman" w:hAnsi="Times New Roman" w:eastAsia="方正仿宋_GBK"/>
          <w:sz w:val="32"/>
          <w:szCs w:val="32"/>
        </w:rPr>
        <w:br w:type="page"/>
      </w:r>
    </w:p>
    <w:p>
      <w:pPr>
        <w:snapToGrid w:val="0"/>
        <w:spacing w:before="120" w:beforeLines="50"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（二）投标函（格式）</w:t>
      </w:r>
    </w:p>
    <w:p>
      <w:pPr>
        <w:spacing w:line="594" w:lineRule="exact"/>
        <w:rPr>
          <w:rFonts w:ascii="Times New Roman" w:hAnsi="Times New Roman" w:eastAsia="方正仿宋_GBK"/>
          <w:sz w:val="32"/>
          <w:szCs w:val="32"/>
        </w:rPr>
      </w:pPr>
    </w:p>
    <w:p>
      <w:pPr>
        <w:spacing w:line="520" w:lineRule="exact"/>
        <w:ind w:firstLine="640" w:firstLineChars="200"/>
        <w:rPr>
          <w:rFonts w:ascii="Times New Roman" w:hAnsi="Times New Roman" w:eastAsia="方正仿宋_GBK"/>
          <w:sz w:val="32"/>
          <w:szCs w:val="32"/>
          <w:u w:val="single"/>
        </w:rPr>
      </w:pPr>
      <w:r>
        <w:rPr>
          <w:rFonts w:ascii="Times New Roman" w:hAnsi="Times New Roman" w:eastAsia="方正仿宋_GBK"/>
          <w:sz w:val="32"/>
          <w:szCs w:val="32"/>
        </w:rPr>
        <w:t>招标项目名称：</w:t>
      </w:r>
    </w:p>
    <w:p>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致：（采购人名称）：</w:t>
      </w:r>
    </w:p>
    <w:p>
      <w:pPr>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（投标人名称）系中华人民共和国合法企业，注册地址：。我方就参加本次投标有关事项郑重声明如下：</w:t>
      </w:r>
    </w:p>
    <w:p>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一、我方完全理解并接受该项目招标文件所有要求。</w:t>
      </w:r>
    </w:p>
    <w:p>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二、我方提交的所有投标文件、资料都是准确和真实的，如有虚假或隐瞒，我方愿意承担一切法律责任。</w:t>
      </w:r>
    </w:p>
    <w:p>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三、我方承诺按照招标文件要求，提供招标项目的技术（质量）服务。</w:t>
      </w:r>
    </w:p>
    <w:p>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四、我方按招标文件要求提交的投标文件为：投标文件正本1份，副本  份。</w:t>
      </w:r>
    </w:p>
    <w:p>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五、我方承诺：本次投标的投标有效期为投标截止时间起90天。</w:t>
      </w:r>
    </w:p>
    <w:p>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六、我方投标报价为闭口价。即在投标有效期和合同有效期内，该报价固定不变。</w:t>
      </w:r>
    </w:p>
    <w:p>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七、如果我方中标，我方将履行招标文件中规定的各项要求以及我方投标文件的各项承诺，按《中华人民共和国政府采购法》、《中华人民共和国民法典》及合同约定条款承担我方责任。</w:t>
      </w:r>
    </w:p>
    <w:p>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八、我方未为采购项目提供整体设计、规范编制或者项目管理、监理、检测等服务。</w:t>
      </w:r>
    </w:p>
    <w:p>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九、我方理解，最低报价不是中标的唯一条件。</w:t>
      </w:r>
    </w:p>
    <w:p>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十、我方同意按有关规定及招标文件要求，交纳足额投标保证金。</w:t>
      </w:r>
    </w:p>
    <w:p>
      <w:pPr>
        <w:tabs>
          <w:tab w:val="left" w:pos="6300"/>
        </w:tabs>
        <w:snapToGrid w:val="0"/>
        <w:spacing w:line="520" w:lineRule="exact"/>
        <w:ind w:firstLine="640" w:firstLineChars="200"/>
        <w:rPr>
          <w:rFonts w:ascii="Times New Roman" w:hAnsi="Times New Roman" w:eastAsia="方正仿宋_GBK"/>
          <w:sz w:val="32"/>
          <w:szCs w:val="32"/>
        </w:rPr>
      </w:pPr>
    </w:p>
    <w:p>
      <w:pPr>
        <w:tabs>
          <w:tab w:val="left" w:pos="6300"/>
        </w:tabs>
        <w:snapToGrid w:val="0"/>
        <w:spacing w:line="520" w:lineRule="exact"/>
        <w:ind w:firstLine="4480" w:firstLineChars="1400"/>
        <w:rPr>
          <w:rFonts w:ascii="Times New Roman" w:hAnsi="Times New Roman" w:eastAsia="方正仿宋_GBK"/>
          <w:sz w:val="32"/>
          <w:szCs w:val="32"/>
        </w:rPr>
      </w:pPr>
      <w:r>
        <w:rPr>
          <w:rFonts w:ascii="Times New Roman" w:hAnsi="Times New Roman" w:eastAsia="方正仿宋_GBK"/>
          <w:sz w:val="32"/>
          <w:szCs w:val="32"/>
        </w:rPr>
        <w:t>（投标人公章或自然人签署）</w:t>
      </w:r>
    </w:p>
    <w:p>
      <w:pPr>
        <w:tabs>
          <w:tab w:val="left" w:pos="6300"/>
        </w:tabs>
        <w:snapToGrid w:val="0"/>
        <w:spacing w:line="520" w:lineRule="exact"/>
        <w:ind w:firstLine="5440" w:firstLineChars="1700"/>
        <w:rPr>
          <w:rFonts w:ascii="Times New Roman" w:hAnsi="Times New Roman" w:eastAsia="方正仿宋_GBK"/>
          <w:sz w:val="32"/>
          <w:szCs w:val="32"/>
        </w:rPr>
      </w:pPr>
      <w:r>
        <w:rPr>
          <w:rFonts w:ascii="Times New Roman" w:hAnsi="Times New Roman" w:eastAsia="方正仿宋_GBK"/>
          <w:sz w:val="32"/>
          <w:szCs w:val="32"/>
        </w:rPr>
        <w:t>年    月   日</w:t>
      </w:r>
    </w:p>
    <w:p>
      <w:pPr>
        <w:widowControl/>
        <w:spacing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（三）法定代表人身份证明书（格式）</w:t>
      </w: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招标项目名称：</w:t>
      </w: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致：（采购</w:t>
      </w:r>
      <w:r>
        <w:rPr>
          <w:rFonts w:hint="eastAsia" w:ascii="Times New Roman" w:hAnsi="Times New Roman" w:eastAsia="方正仿宋_GBK"/>
          <w:sz w:val="32"/>
          <w:szCs w:val="32"/>
        </w:rPr>
        <w:t>人</w:t>
      </w:r>
      <w:r>
        <w:rPr>
          <w:rFonts w:ascii="Times New Roman" w:hAnsi="Times New Roman" w:eastAsia="方正仿宋_GBK"/>
          <w:sz w:val="32"/>
          <w:szCs w:val="32"/>
        </w:rPr>
        <w:t>名称）：</w:t>
      </w: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（法定代表人姓名）在（投标人名称）任（职务名称）职务，是（投标人名称）的法定代表人。</w:t>
      </w: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特此证明。</w:t>
      </w: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投标人：</w:t>
      </w:r>
    </w:p>
    <w:p>
      <w:pPr>
        <w:tabs>
          <w:tab w:val="left" w:pos="6300"/>
        </w:tabs>
        <w:snapToGrid w:val="0"/>
        <w:spacing w:line="594" w:lineRule="exact"/>
        <w:ind w:firstLine="5120" w:firstLineChars="1600"/>
        <w:rPr>
          <w:rFonts w:ascii="Times New Roman" w:hAnsi="Times New Roman" w:eastAsia="方正仿宋_GBK"/>
          <w:sz w:val="32"/>
          <w:szCs w:val="32"/>
        </w:rPr>
      </w:pPr>
      <w:r>
        <w:rPr>
          <w:rFonts w:ascii="Times New Roman" w:hAnsi="Times New Roman" w:eastAsia="方正仿宋_GBK"/>
          <w:sz w:val="32"/>
          <w:szCs w:val="32"/>
        </w:rPr>
        <w:t>（投标人公章）</w:t>
      </w: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年   月   日</w:t>
      </w:r>
    </w:p>
    <w:p>
      <w:pPr>
        <w:pStyle w:val="2"/>
        <w:ind w:firstLine="880"/>
      </w:pP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法定代表人电话：XXXXXXX      电子邮箱：XXXXXX@XXXXX（若授权他人办理并签署投标文件的可不填写）</w:t>
      </w: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（附：法定代表人身份证正反面复印件）</w:t>
      </w: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br w:type="column"/>
      </w:r>
      <w:r>
        <w:rPr>
          <w:rFonts w:ascii="Times New Roman" w:hAnsi="Times New Roman" w:eastAsia="方正仿宋_GBK"/>
          <w:sz w:val="32"/>
          <w:szCs w:val="32"/>
        </w:rPr>
        <w:t>（四）法定代表人授权委托书（格式）</w:t>
      </w: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招标项目名称：</w:t>
      </w: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致：（采购</w:t>
      </w:r>
      <w:r>
        <w:rPr>
          <w:rFonts w:hint="eastAsia" w:ascii="Times New Roman" w:hAnsi="Times New Roman" w:eastAsia="方正仿宋_GBK"/>
          <w:sz w:val="32"/>
          <w:szCs w:val="32"/>
        </w:rPr>
        <w:t>人</w:t>
      </w:r>
      <w:r>
        <w:rPr>
          <w:rFonts w:ascii="Times New Roman" w:hAnsi="Times New Roman" w:eastAsia="方正仿宋_GBK"/>
          <w:sz w:val="32"/>
          <w:szCs w:val="32"/>
        </w:rPr>
        <w:t>名称）：</w:t>
      </w: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（投标人法定代表人名称）是（投标人名称）的法定代表人，特授权（被授权人姓名及身份证代码）代表我单位全权办理上述项目的投标、谈判、签约等具体工作，并签署全部有关文件、协议及合同。</w:t>
      </w: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我单位对被授权人的签署负全部责任。</w:t>
      </w: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在撤消授权的书面通知以前，本授权书一直有效。被授权人在授权书有效期内签署的所有文件不因授权的撤消而失效。</w:t>
      </w: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投标人：                    法定代表人/授权代表</w:t>
      </w:r>
      <w:r>
        <w:rPr>
          <w:rFonts w:hint="eastAsia" w:ascii="Times New Roman" w:hAnsi="Times New Roman" w:eastAsia="方正仿宋_GBK"/>
          <w:sz w:val="32"/>
          <w:szCs w:val="32"/>
        </w:rPr>
        <w:t>：</w:t>
      </w: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（投标人公章）                     （签字或盖章）     </w:t>
      </w: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（附：被授权人身份证正反面复印件）</w:t>
      </w: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right="1120"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（投标人公章）</w:t>
      </w:r>
    </w:p>
    <w:p>
      <w:pPr>
        <w:tabs>
          <w:tab w:val="left" w:pos="6300"/>
        </w:tabs>
        <w:snapToGrid w:val="0"/>
        <w:spacing w:line="594" w:lineRule="exact"/>
        <w:ind w:right="1120"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年   月   日</w:t>
      </w:r>
    </w:p>
    <w:p>
      <w:pPr>
        <w:tabs>
          <w:tab w:val="left" w:pos="6300"/>
        </w:tabs>
        <w:snapToGrid w:val="0"/>
        <w:spacing w:line="594" w:lineRule="exact"/>
        <w:ind w:right="720" w:firstLine="640" w:firstLineChars="200"/>
        <w:jc w:val="right"/>
        <w:rPr>
          <w:rFonts w:ascii="Times New Roman" w:hAnsi="Times New Roman" w:eastAsia="方正仿宋_GBK"/>
          <w:sz w:val="32"/>
          <w:szCs w:val="32"/>
        </w:rPr>
      </w:pPr>
    </w:p>
    <w:p>
      <w:pPr>
        <w:tabs>
          <w:tab w:val="left" w:pos="6300"/>
        </w:tabs>
        <w:snapToGrid w:val="0"/>
        <w:spacing w:line="594" w:lineRule="exact"/>
        <w:ind w:right="48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被授权人电话：XXXXXXX     电子邮箱：XXXXXX@XXXXX（若法定代表人办理并签署投标文件的可不填写）</w:t>
      </w:r>
    </w:p>
    <w:p>
      <w:pPr>
        <w:tabs>
          <w:tab w:val="left" w:pos="6300"/>
        </w:tabs>
        <w:snapToGrid w:val="0"/>
        <w:spacing w:line="594" w:lineRule="exact"/>
        <w:ind w:right="48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注：</w:t>
      </w:r>
    </w:p>
    <w:p>
      <w:pPr>
        <w:tabs>
          <w:tab w:val="left" w:pos="6300"/>
        </w:tabs>
        <w:snapToGrid w:val="0"/>
        <w:spacing w:line="594" w:lineRule="exact"/>
        <w:ind w:right="48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1.若为法定代表人办理并签署投标文件的，不提供此文件。</w:t>
      </w:r>
    </w:p>
    <w:p>
      <w:pPr>
        <w:tabs>
          <w:tab w:val="left" w:pos="6300"/>
        </w:tabs>
        <w:snapToGrid w:val="0"/>
        <w:spacing w:line="594" w:lineRule="exact"/>
        <w:ind w:right="48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2.若为联合体投标的，法定代表人授权委托书由联合体主办方</w:t>
      </w:r>
      <w:r>
        <w:rPr>
          <w:rFonts w:ascii="Times New Roman" w:hAnsi="Times New Roman" w:eastAsia="方正仿宋_GBK"/>
          <w:kern w:val="0"/>
          <w:sz w:val="32"/>
          <w:szCs w:val="32"/>
        </w:rPr>
        <w:t>（主体）</w:t>
      </w:r>
      <w:r>
        <w:rPr>
          <w:rFonts w:ascii="Times New Roman" w:hAnsi="Times New Roman" w:eastAsia="方正仿宋_GBK"/>
          <w:sz w:val="32"/>
          <w:szCs w:val="32"/>
        </w:rPr>
        <w:t>出具。</w:t>
      </w:r>
    </w:p>
    <w:p>
      <w:pPr>
        <w:tabs>
          <w:tab w:val="left" w:pos="6300"/>
        </w:tabs>
        <w:snapToGrid w:val="0"/>
        <w:spacing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br w:type="column"/>
      </w:r>
      <w:r>
        <w:rPr>
          <w:rFonts w:ascii="Times New Roman" w:hAnsi="Times New Roman" w:eastAsia="方正仿宋_GBK"/>
          <w:sz w:val="32"/>
          <w:szCs w:val="32"/>
        </w:rPr>
        <w:t>（五）基本资格条件承诺函（格式）</w:t>
      </w:r>
    </w:p>
    <w:p>
      <w:pPr>
        <w:tabs>
          <w:tab w:val="left" w:pos="6300"/>
        </w:tabs>
        <w:snapToGrid w:val="0"/>
        <w:spacing w:line="594" w:lineRule="exact"/>
        <w:ind w:firstLine="640" w:firstLineChars="200"/>
        <w:jc w:val="center"/>
        <w:rPr>
          <w:rFonts w:ascii="Times New Roman" w:hAnsi="Times New Roman" w:eastAsia="方正仿宋_GBK"/>
          <w:sz w:val="32"/>
          <w:szCs w:val="32"/>
        </w:rPr>
      </w:pPr>
    </w:p>
    <w:p>
      <w:pPr>
        <w:tabs>
          <w:tab w:val="left" w:pos="6300"/>
        </w:tabs>
        <w:snapToGrid w:val="0"/>
        <w:spacing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基本资格条件承诺函</w:t>
      </w: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致（采购</w:t>
      </w:r>
      <w:r>
        <w:rPr>
          <w:rFonts w:hint="eastAsia" w:ascii="Times New Roman" w:hAnsi="Times New Roman" w:eastAsia="方正仿宋_GBK"/>
          <w:sz w:val="32"/>
          <w:szCs w:val="32"/>
        </w:rPr>
        <w:t>人</w:t>
      </w:r>
      <w:r>
        <w:rPr>
          <w:rFonts w:ascii="Times New Roman" w:hAnsi="Times New Roman" w:eastAsia="方正仿宋_GBK"/>
          <w:sz w:val="32"/>
          <w:szCs w:val="32"/>
        </w:rPr>
        <w:t>名称）：</w:t>
      </w: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（投标人名称）郑重承诺：</w:t>
      </w: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1.我方具有良好的商业信誉和健全的财务会计制度，具有履行合同所必需的设备和专业技术能力，具</w:t>
      </w:r>
      <w:r>
        <w:rPr>
          <w:rFonts w:ascii="Times New Roman" w:hAnsi="Times New Roman" w:eastAsia="方正仿宋_GBK"/>
          <w:sz w:val="32"/>
          <w:szCs w:val="32"/>
          <w:lang w:val="zh-CN"/>
        </w:rPr>
        <w:t>有依法缴纳税收和社会保障金的良好记录</w:t>
      </w:r>
      <w:r>
        <w:rPr>
          <w:rFonts w:ascii="Times New Roman" w:hAnsi="Times New Roman" w:eastAsia="方正仿宋_GBK"/>
          <w:sz w:val="32"/>
          <w:szCs w:val="32"/>
        </w:rPr>
        <w:t>，参加本项目采购活动前三年内无重大违法活动记录。</w:t>
      </w: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3.我方在采购项目评审（评标）环节结束后，随时接受采购人的检查验证，配合提供相关证明材料，证明符合《中华人民共和国政府采购法》规定的投标人基本资格条件。</w:t>
      </w: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我方对以上承诺负全部法律责任。</w:t>
      </w:r>
    </w:p>
    <w:p>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特此承诺。</w:t>
      </w:r>
    </w:p>
    <w:p>
      <w:pPr>
        <w:tabs>
          <w:tab w:val="left" w:pos="6300"/>
        </w:tabs>
        <w:snapToGrid w:val="0"/>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right="1280" w:firstLine="640" w:firstLineChars="200"/>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（投标人公章）</w:t>
      </w:r>
    </w:p>
    <w:p>
      <w:pPr>
        <w:tabs>
          <w:tab w:val="left" w:pos="6300"/>
        </w:tabs>
        <w:snapToGrid w:val="0"/>
        <w:spacing w:line="594" w:lineRule="exact"/>
        <w:ind w:right="1280"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年   月   日</w:t>
      </w:r>
    </w:p>
    <w:p>
      <w:pPr>
        <w:tabs>
          <w:tab w:val="left" w:pos="6300"/>
        </w:tabs>
        <w:snapToGrid w:val="0"/>
        <w:spacing w:line="594" w:lineRule="exact"/>
        <w:ind w:left="420" w:leftChars="20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br w:type="page"/>
      </w:r>
      <w:r>
        <w:rPr>
          <w:rFonts w:ascii="Times New Roman" w:hAnsi="Times New Roman" w:eastAsia="方正仿宋_GBK"/>
          <w:sz w:val="32"/>
          <w:szCs w:val="32"/>
        </w:rPr>
        <w:t>（六）特定资格条件证书或证明文件</w:t>
      </w:r>
    </w:p>
    <w:p>
      <w:pPr>
        <w:tabs>
          <w:tab w:val="left" w:pos="6300"/>
        </w:tabs>
        <w:snapToGrid w:val="0"/>
        <w:spacing w:line="594" w:lineRule="exact"/>
        <w:ind w:left="420" w:leftChars="200" w:firstLine="640" w:firstLineChars="200"/>
        <w:jc w:val="left"/>
        <w:rPr>
          <w:rFonts w:ascii="Times New Roman" w:hAnsi="Times New Roman" w:eastAsia="方正仿宋_GBK"/>
          <w:sz w:val="32"/>
          <w:szCs w:val="32"/>
        </w:rPr>
      </w:pPr>
    </w:p>
    <w:p>
      <w:pPr>
        <w:pStyle w:val="24"/>
        <w:spacing w:line="594" w:lineRule="exact"/>
        <w:ind w:firstLine="640" w:firstLineChars="200"/>
        <w:rPr>
          <w:rFonts w:ascii="Times New Roman" w:hAnsi="Times New Roman" w:eastAsia="方正仿宋_GBK"/>
          <w:szCs w:val="32"/>
        </w:rPr>
      </w:pPr>
    </w:p>
    <w:p>
      <w:pPr>
        <w:pStyle w:val="24"/>
        <w:spacing w:line="594" w:lineRule="exact"/>
        <w:ind w:firstLine="640" w:firstLineChars="200"/>
        <w:rPr>
          <w:rFonts w:ascii="Times New Roman" w:hAnsi="Times New Roman" w:eastAsia="方正仿宋_GBK"/>
          <w:szCs w:val="32"/>
        </w:rPr>
      </w:pPr>
    </w:p>
    <w:p>
      <w:pPr>
        <w:pStyle w:val="256"/>
        <w:wordWrap/>
        <w:spacing w:before="0" w:after="0" w:line="594" w:lineRule="exact"/>
        <w:ind w:left="1320" w:firstLine="640" w:firstLineChars="200"/>
        <w:rPr>
          <w:rFonts w:eastAsia="方正仿宋_GBK"/>
          <w:sz w:val="32"/>
          <w:szCs w:val="32"/>
        </w:rPr>
      </w:pPr>
    </w:p>
    <w:p>
      <w:pPr>
        <w:spacing w:line="594" w:lineRule="exact"/>
        <w:ind w:firstLine="640" w:firstLineChars="200"/>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hint="eastAsia" w:ascii="Times New Roman" w:hAnsi="Times New Roman" w:eastAsia="方正仿宋_GBK"/>
          <w:sz w:val="32"/>
          <w:szCs w:val="32"/>
        </w:rPr>
      </w:pPr>
    </w:p>
    <w:p>
      <w:pPr>
        <w:pStyle w:val="2"/>
        <w:ind w:firstLine="880"/>
        <w:rPr>
          <w:rFonts w:hint="eastAsia"/>
        </w:rPr>
      </w:pPr>
    </w:p>
    <w:p>
      <w:pPr>
        <w:pStyle w:val="2"/>
        <w:ind w:firstLine="880"/>
        <w:rPr>
          <w:rFonts w:hint="eastAsia"/>
        </w:rPr>
      </w:pPr>
    </w:p>
    <w:p>
      <w:pPr>
        <w:pStyle w:val="2"/>
        <w:ind w:firstLine="880"/>
        <w:rPr>
          <w:rFonts w:hint="eastAsia"/>
        </w:rPr>
      </w:pPr>
    </w:p>
    <w:p>
      <w:pPr>
        <w:pStyle w:val="2"/>
        <w:ind w:firstLine="880"/>
        <w:rPr>
          <w:rFonts w:hint="eastAsia"/>
        </w:rPr>
      </w:pPr>
    </w:p>
    <w:p>
      <w:pPr>
        <w:tabs>
          <w:tab w:val="left" w:pos="6300"/>
        </w:tabs>
        <w:snapToGrid w:val="0"/>
        <w:spacing w:line="594" w:lineRule="exact"/>
        <w:ind w:left="420" w:leftChars="200" w:firstLine="640" w:firstLineChars="200"/>
        <w:jc w:val="center"/>
        <w:rPr>
          <w:rFonts w:hint="eastAsia" w:ascii="Times New Roman" w:hAnsi="Times New Roman" w:eastAsia="方正仿宋_GBK"/>
          <w:sz w:val="32"/>
          <w:szCs w:val="32"/>
        </w:rPr>
      </w:pPr>
      <w:r>
        <w:rPr>
          <w:rFonts w:hint="eastAsia" w:ascii="Times New Roman" w:hAnsi="Times New Roman" w:eastAsia="方正仿宋_GBK"/>
          <w:sz w:val="32"/>
          <w:szCs w:val="32"/>
        </w:rPr>
        <w:t>（七）其他材料</w:t>
      </w:r>
    </w:p>
    <w:p>
      <w:pPr>
        <w:pStyle w:val="2"/>
        <w:ind w:firstLine="880"/>
        <w:rPr>
          <w:rFonts w:hint="eastAsia"/>
        </w:rPr>
      </w:pPr>
    </w:p>
    <w:p>
      <w:pPr>
        <w:pStyle w:val="2"/>
        <w:ind w:firstLine="880"/>
        <w:rPr>
          <w:rFonts w:hint="eastAsia"/>
        </w:rPr>
      </w:pPr>
    </w:p>
    <w:p>
      <w:pPr>
        <w:pStyle w:val="2"/>
        <w:ind w:firstLine="880"/>
        <w:rPr>
          <w:rFonts w:hint="eastAsia"/>
        </w:rPr>
      </w:pPr>
    </w:p>
    <w:p>
      <w:pPr>
        <w:pStyle w:val="2"/>
        <w:ind w:firstLine="880"/>
        <w:rPr>
          <w:rFonts w:hint="eastAsia"/>
        </w:rPr>
      </w:pPr>
    </w:p>
    <w:p>
      <w:pPr>
        <w:pStyle w:val="2"/>
        <w:ind w:firstLine="880"/>
        <w:rPr>
          <w:rFonts w:hint="eastAsia"/>
        </w:rPr>
      </w:pPr>
    </w:p>
    <w:p>
      <w:pPr>
        <w:pStyle w:val="2"/>
        <w:ind w:firstLine="880"/>
        <w:rPr>
          <w:rFonts w:hint="eastAsia"/>
        </w:rPr>
      </w:pPr>
    </w:p>
    <w:p>
      <w:pPr>
        <w:pStyle w:val="2"/>
        <w:ind w:firstLine="880"/>
        <w:rPr>
          <w:rFonts w:hint="eastAsia"/>
        </w:rPr>
      </w:pPr>
    </w:p>
    <w:p>
      <w:pPr>
        <w:pStyle w:val="2"/>
        <w:ind w:firstLine="880"/>
        <w:rPr>
          <w:rFonts w:hint="eastAsia"/>
        </w:rPr>
      </w:pPr>
    </w:p>
    <w:p>
      <w:pPr>
        <w:pStyle w:val="2"/>
        <w:ind w:firstLine="880"/>
        <w:rPr>
          <w:rFonts w:hint="eastAsia"/>
        </w:rPr>
      </w:pPr>
    </w:p>
    <w:p>
      <w:pPr>
        <w:pStyle w:val="2"/>
        <w:ind w:firstLine="880"/>
        <w:rPr>
          <w:rFonts w:hint="eastAsia"/>
        </w:rPr>
      </w:pPr>
    </w:p>
    <w:p>
      <w:pPr>
        <w:pStyle w:val="2"/>
        <w:ind w:firstLine="880"/>
        <w:rPr>
          <w:rFonts w:hint="eastAsia"/>
        </w:rPr>
      </w:pPr>
    </w:p>
    <w:p>
      <w:pPr>
        <w:pStyle w:val="2"/>
        <w:ind w:firstLine="880"/>
        <w:rPr>
          <w:rFonts w:hint="eastAsia"/>
        </w:rPr>
      </w:pPr>
    </w:p>
    <w:p>
      <w:pPr>
        <w:pStyle w:val="2"/>
        <w:ind w:firstLine="880"/>
        <w:rPr>
          <w:rFonts w:hint="eastAsia"/>
        </w:rPr>
      </w:pPr>
    </w:p>
    <w:p>
      <w:pPr>
        <w:pStyle w:val="2"/>
        <w:ind w:firstLine="880"/>
        <w:rPr>
          <w:rFonts w:hint="eastAsia"/>
        </w:rPr>
      </w:pPr>
    </w:p>
    <w:p>
      <w:pPr>
        <w:pStyle w:val="2"/>
        <w:ind w:firstLine="880"/>
        <w:rPr>
          <w:rFonts w:hint="eastAsia"/>
        </w:rPr>
      </w:pPr>
    </w:p>
    <w:p>
      <w:pPr>
        <w:pStyle w:val="2"/>
        <w:ind w:firstLine="880"/>
        <w:rPr>
          <w:rFonts w:hint="eastAsia"/>
        </w:rPr>
      </w:pPr>
    </w:p>
    <w:p>
      <w:pPr>
        <w:pStyle w:val="2"/>
        <w:ind w:firstLine="880"/>
      </w:pPr>
    </w:p>
    <w:p>
      <w:pPr>
        <w:tabs>
          <w:tab w:val="left" w:pos="6300"/>
        </w:tabs>
        <w:snapToGrid w:val="0"/>
        <w:spacing w:line="594" w:lineRule="exact"/>
        <w:ind w:firstLine="640" w:firstLineChars="200"/>
        <w:jc w:val="center"/>
        <w:rPr>
          <w:rFonts w:ascii="Times New Roman" w:hAnsi="Times New Roman" w:eastAsia="方正仿宋_GBK"/>
          <w:sz w:val="32"/>
          <w:szCs w:val="32"/>
        </w:rPr>
      </w:pPr>
    </w:p>
    <w:p>
      <w:pPr>
        <w:tabs>
          <w:tab w:val="left" w:pos="6300"/>
        </w:tabs>
        <w:snapToGrid w:val="0"/>
        <w:spacing w:line="594" w:lineRule="exact"/>
        <w:ind w:firstLine="640" w:firstLineChars="200"/>
        <w:jc w:val="center"/>
        <w:rPr>
          <w:rFonts w:ascii="Times New Roman" w:hAnsi="Times New Roman" w:eastAsia="方正仿宋_GBK"/>
          <w:sz w:val="32"/>
          <w:szCs w:val="32"/>
        </w:rPr>
      </w:pPr>
    </w:p>
    <w:p>
      <w:pPr>
        <w:tabs>
          <w:tab w:val="left" w:pos="6300"/>
        </w:tabs>
        <w:snapToGrid w:val="0"/>
        <w:spacing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（结束）</w:t>
      </w:r>
    </w:p>
    <w:p>
      <w:pPr>
        <w:spacing w:line="594" w:lineRule="exact"/>
        <w:rPr>
          <w:rFonts w:ascii="Times New Roman" w:hAnsi="Times New Roman" w:eastAsia="方正仿宋_GBK"/>
          <w:sz w:val="32"/>
          <w:szCs w:val="32"/>
        </w:rPr>
      </w:pPr>
    </w:p>
    <w:sectPr>
      <w:footerReference r:id="rId3"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4AA0A4E-3621-4446-A2B0-F1AE3ECB9D2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4357922A-0597-4F59-B7DF-80B72F4E1501}"/>
  </w:font>
  <w:font w:name="方正黑体_GBK">
    <w:panose1 w:val="03000509000000000000"/>
    <w:charset w:val="86"/>
    <w:family w:val="auto"/>
    <w:pitch w:val="default"/>
    <w:sig w:usb0="00000001" w:usb1="080E0000" w:usb2="00000000" w:usb3="00000000" w:csb0="00040000" w:csb1="00000000"/>
    <w:embedRegular r:id="rId3" w:fontKey="{8BFA6DED-BB18-4007-A90A-54410B3C9D77}"/>
  </w:font>
  <w:font w:name="方正楷体_GBK">
    <w:panose1 w:val="03000509000000000000"/>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_GB2312">
    <w:altName w:val="方正仿宋_GBK"/>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仿宋简体">
    <w:panose1 w:val="02010601030101010101"/>
    <w:charset w:val="86"/>
    <w:family w:val="roma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4" w:fontKey="{707BA28A-04A2-44F3-B9FD-F49CDFCA6556}"/>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W5+00QAAAAMBAAAPAAAAAAAAAAEAIAAAACIAAABkcnMvZG93bnJldi54bWxQSwEC&#10;FAAUAAAACACHTuJAXHJRxTQCAABhBAAADgAAAAAAAAABACAAAAAgAQAAZHJzL2Uyb0RvYy54bWxQ&#10;SwUGAAAAAAYABgBZAQAAxgUAAAAA&#10;">
              <v:fill on="f" focussize="0,0"/>
              <v:stroke on="f" weight="0.5pt"/>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5"/>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gutterAtTop/>
  <w:documentProtection w:enforcement="0"/>
  <w:defaultTabStop w:val="420"/>
  <w:drawingGridHorizontalSpacing w:val="96"/>
  <w:drawingGridVerticalSpacing w:val="190"/>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NDk4ZmU0OGZmNmQ1OWJiMTQ3ZDk4YmJkZTM1ZDIifQ=="/>
  </w:docVars>
  <w:rsids>
    <w:rsidRoot w:val="00172A27"/>
    <w:rsid w:val="00001BE6"/>
    <w:rsid w:val="0000248C"/>
    <w:rsid w:val="0000339D"/>
    <w:rsid w:val="0000510B"/>
    <w:rsid w:val="0001050B"/>
    <w:rsid w:val="000144C9"/>
    <w:rsid w:val="0002088C"/>
    <w:rsid w:val="00022723"/>
    <w:rsid w:val="00033DAB"/>
    <w:rsid w:val="000342CA"/>
    <w:rsid w:val="00034D2B"/>
    <w:rsid w:val="00035752"/>
    <w:rsid w:val="000370BC"/>
    <w:rsid w:val="000401A2"/>
    <w:rsid w:val="00041269"/>
    <w:rsid w:val="00042D13"/>
    <w:rsid w:val="00056A6E"/>
    <w:rsid w:val="00080C12"/>
    <w:rsid w:val="000831AB"/>
    <w:rsid w:val="0008422C"/>
    <w:rsid w:val="00084C93"/>
    <w:rsid w:val="000864EB"/>
    <w:rsid w:val="00095E1C"/>
    <w:rsid w:val="000B4CFC"/>
    <w:rsid w:val="000D42BB"/>
    <w:rsid w:val="000D5AC6"/>
    <w:rsid w:val="000E232C"/>
    <w:rsid w:val="000E3144"/>
    <w:rsid w:val="000E3326"/>
    <w:rsid w:val="000F1833"/>
    <w:rsid w:val="00114077"/>
    <w:rsid w:val="0011647C"/>
    <w:rsid w:val="00116BB6"/>
    <w:rsid w:val="00117275"/>
    <w:rsid w:val="001173E3"/>
    <w:rsid w:val="001306AD"/>
    <w:rsid w:val="00136D0F"/>
    <w:rsid w:val="001435CF"/>
    <w:rsid w:val="001445A2"/>
    <w:rsid w:val="00145859"/>
    <w:rsid w:val="0015070D"/>
    <w:rsid w:val="00150D87"/>
    <w:rsid w:val="00152A19"/>
    <w:rsid w:val="0015525F"/>
    <w:rsid w:val="00165915"/>
    <w:rsid w:val="00166EEA"/>
    <w:rsid w:val="00172A27"/>
    <w:rsid w:val="00173214"/>
    <w:rsid w:val="0017411A"/>
    <w:rsid w:val="001765E3"/>
    <w:rsid w:val="00177A86"/>
    <w:rsid w:val="001829E7"/>
    <w:rsid w:val="00191E27"/>
    <w:rsid w:val="00192985"/>
    <w:rsid w:val="001959D5"/>
    <w:rsid w:val="001A1F58"/>
    <w:rsid w:val="001A3E64"/>
    <w:rsid w:val="001B25EC"/>
    <w:rsid w:val="001E13BC"/>
    <w:rsid w:val="001E2C1B"/>
    <w:rsid w:val="001E3607"/>
    <w:rsid w:val="001E44D9"/>
    <w:rsid w:val="001E73E2"/>
    <w:rsid w:val="001F31F7"/>
    <w:rsid w:val="001F402F"/>
    <w:rsid w:val="001F74AE"/>
    <w:rsid w:val="002122FC"/>
    <w:rsid w:val="0021327B"/>
    <w:rsid w:val="0021595A"/>
    <w:rsid w:val="00223B9B"/>
    <w:rsid w:val="0022691C"/>
    <w:rsid w:val="00226A1A"/>
    <w:rsid w:val="00227B9B"/>
    <w:rsid w:val="002308E3"/>
    <w:rsid w:val="00234024"/>
    <w:rsid w:val="002466DB"/>
    <w:rsid w:val="00261865"/>
    <w:rsid w:val="002676F5"/>
    <w:rsid w:val="00273779"/>
    <w:rsid w:val="00275882"/>
    <w:rsid w:val="0028373F"/>
    <w:rsid w:val="00285E95"/>
    <w:rsid w:val="0028708D"/>
    <w:rsid w:val="002914D6"/>
    <w:rsid w:val="00296F1F"/>
    <w:rsid w:val="00297EC4"/>
    <w:rsid w:val="002A5487"/>
    <w:rsid w:val="002B0676"/>
    <w:rsid w:val="002C7EDF"/>
    <w:rsid w:val="002D14D5"/>
    <w:rsid w:val="002E1AF2"/>
    <w:rsid w:val="002E3F31"/>
    <w:rsid w:val="002F2847"/>
    <w:rsid w:val="002F39DF"/>
    <w:rsid w:val="002F5C86"/>
    <w:rsid w:val="00305C0F"/>
    <w:rsid w:val="00313FC6"/>
    <w:rsid w:val="00314FE1"/>
    <w:rsid w:val="00316DF3"/>
    <w:rsid w:val="003226F2"/>
    <w:rsid w:val="00330491"/>
    <w:rsid w:val="003332D6"/>
    <w:rsid w:val="00333713"/>
    <w:rsid w:val="0033562A"/>
    <w:rsid w:val="003453EB"/>
    <w:rsid w:val="00357DD6"/>
    <w:rsid w:val="003609C0"/>
    <w:rsid w:val="00362935"/>
    <w:rsid w:val="00372AF8"/>
    <w:rsid w:val="00372BE3"/>
    <w:rsid w:val="00375908"/>
    <w:rsid w:val="00376A0F"/>
    <w:rsid w:val="00382DE2"/>
    <w:rsid w:val="003876E3"/>
    <w:rsid w:val="003878EB"/>
    <w:rsid w:val="003A0967"/>
    <w:rsid w:val="003A0A5B"/>
    <w:rsid w:val="003A2252"/>
    <w:rsid w:val="003B3375"/>
    <w:rsid w:val="003B48D3"/>
    <w:rsid w:val="003C7EBF"/>
    <w:rsid w:val="003D7E49"/>
    <w:rsid w:val="003E643E"/>
    <w:rsid w:val="003E69B4"/>
    <w:rsid w:val="003E7CAB"/>
    <w:rsid w:val="003F2390"/>
    <w:rsid w:val="003F2678"/>
    <w:rsid w:val="003F7078"/>
    <w:rsid w:val="003F75E7"/>
    <w:rsid w:val="00415960"/>
    <w:rsid w:val="00421287"/>
    <w:rsid w:val="0043243B"/>
    <w:rsid w:val="00442270"/>
    <w:rsid w:val="00442877"/>
    <w:rsid w:val="0044680D"/>
    <w:rsid w:val="00460545"/>
    <w:rsid w:val="00460BF2"/>
    <w:rsid w:val="0046231C"/>
    <w:rsid w:val="00462C46"/>
    <w:rsid w:val="0046423E"/>
    <w:rsid w:val="0047692C"/>
    <w:rsid w:val="00483893"/>
    <w:rsid w:val="00487EC2"/>
    <w:rsid w:val="004916E8"/>
    <w:rsid w:val="004919D6"/>
    <w:rsid w:val="00493794"/>
    <w:rsid w:val="00495D1A"/>
    <w:rsid w:val="0049754E"/>
    <w:rsid w:val="004A1198"/>
    <w:rsid w:val="004A2061"/>
    <w:rsid w:val="004A6CE1"/>
    <w:rsid w:val="004B2C7E"/>
    <w:rsid w:val="004B4D5B"/>
    <w:rsid w:val="004B6135"/>
    <w:rsid w:val="004C33E5"/>
    <w:rsid w:val="004C55B8"/>
    <w:rsid w:val="004D15E1"/>
    <w:rsid w:val="004D3EE5"/>
    <w:rsid w:val="004D4610"/>
    <w:rsid w:val="004D7915"/>
    <w:rsid w:val="004E5FD9"/>
    <w:rsid w:val="004F3513"/>
    <w:rsid w:val="004F3EA9"/>
    <w:rsid w:val="005051BE"/>
    <w:rsid w:val="00506B0B"/>
    <w:rsid w:val="0050721A"/>
    <w:rsid w:val="00507899"/>
    <w:rsid w:val="005106F8"/>
    <w:rsid w:val="00517CE7"/>
    <w:rsid w:val="00521F48"/>
    <w:rsid w:val="00525122"/>
    <w:rsid w:val="00530BEE"/>
    <w:rsid w:val="00530E0E"/>
    <w:rsid w:val="00531162"/>
    <w:rsid w:val="00537A61"/>
    <w:rsid w:val="00544AC9"/>
    <w:rsid w:val="0054745E"/>
    <w:rsid w:val="00550847"/>
    <w:rsid w:val="0055266E"/>
    <w:rsid w:val="00556FA6"/>
    <w:rsid w:val="0055762B"/>
    <w:rsid w:val="0056207B"/>
    <w:rsid w:val="00562F84"/>
    <w:rsid w:val="00570E31"/>
    <w:rsid w:val="00576189"/>
    <w:rsid w:val="00580744"/>
    <w:rsid w:val="00585CBE"/>
    <w:rsid w:val="005869E2"/>
    <w:rsid w:val="005879AF"/>
    <w:rsid w:val="005B1134"/>
    <w:rsid w:val="005C0E3C"/>
    <w:rsid w:val="005C3078"/>
    <w:rsid w:val="005C530A"/>
    <w:rsid w:val="005C6932"/>
    <w:rsid w:val="005C7A84"/>
    <w:rsid w:val="005E2702"/>
    <w:rsid w:val="005E5D5E"/>
    <w:rsid w:val="005F22A3"/>
    <w:rsid w:val="005F2BA4"/>
    <w:rsid w:val="005F4F46"/>
    <w:rsid w:val="00603EEA"/>
    <w:rsid w:val="00610016"/>
    <w:rsid w:val="00614560"/>
    <w:rsid w:val="0062081E"/>
    <w:rsid w:val="00624C71"/>
    <w:rsid w:val="00625F79"/>
    <w:rsid w:val="00632F21"/>
    <w:rsid w:val="00643888"/>
    <w:rsid w:val="006447E2"/>
    <w:rsid w:val="006452FB"/>
    <w:rsid w:val="00650BCB"/>
    <w:rsid w:val="0065313C"/>
    <w:rsid w:val="00661F22"/>
    <w:rsid w:val="00664DC0"/>
    <w:rsid w:val="0066703B"/>
    <w:rsid w:val="00667DF3"/>
    <w:rsid w:val="0067200E"/>
    <w:rsid w:val="00675CDE"/>
    <w:rsid w:val="006802F3"/>
    <w:rsid w:val="00684D9B"/>
    <w:rsid w:val="006939AC"/>
    <w:rsid w:val="00693E44"/>
    <w:rsid w:val="006A2801"/>
    <w:rsid w:val="006A3401"/>
    <w:rsid w:val="006B2455"/>
    <w:rsid w:val="006B24DC"/>
    <w:rsid w:val="006B6471"/>
    <w:rsid w:val="006B6EA1"/>
    <w:rsid w:val="006C353F"/>
    <w:rsid w:val="006C6158"/>
    <w:rsid w:val="006C7CD3"/>
    <w:rsid w:val="006E7CC9"/>
    <w:rsid w:val="006F70D8"/>
    <w:rsid w:val="00711B29"/>
    <w:rsid w:val="007235C2"/>
    <w:rsid w:val="00723BC4"/>
    <w:rsid w:val="007271D5"/>
    <w:rsid w:val="00727603"/>
    <w:rsid w:val="00731090"/>
    <w:rsid w:val="00740692"/>
    <w:rsid w:val="007415FB"/>
    <w:rsid w:val="00744277"/>
    <w:rsid w:val="007442A0"/>
    <w:rsid w:val="007477F8"/>
    <w:rsid w:val="00754219"/>
    <w:rsid w:val="00755658"/>
    <w:rsid w:val="00757D4B"/>
    <w:rsid w:val="00764963"/>
    <w:rsid w:val="007676AC"/>
    <w:rsid w:val="00773049"/>
    <w:rsid w:val="0077697A"/>
    <w:rsid w:val="00791D34"/>
    <w:rsid w:val="00794A8C"/>
    <w:rsid w:val="007A3A16"/>
    <w:rsid w:val="007B0C8E"/>
    <w:rsid w:val="007B6393"/>
    <w:rsid w:val="007B641D"/>
    <w:rsid w:val="007C31A2"/>
    <w:rsid w:val="007D57AF"/>
    <w:rsid w:val="007E13BD"/>
    <w:rsid w:val="007E1B9B"/>
    <w:rsid w:val="007E1D36"/>
    <w:rsid w:val="007F25E2"/>
    <w:rsid w:val="007F2A53"/>
    <w:rsid w:val="00827371"/>
    <w:rsid w:val="00833A4D"/>
    <w:rsid w:val="00834033"/>
    <w:rsid w:val="008357FF"/>
    <w:rsid w:val="00844F3C"/>
    <w:rsid w:val="00854CC0"/>
    <w:rsid w:val="00854ED3"/>
    <w:rsid w:val="0085726D"/>
    <w:rsid w:val="00862785"/>
    <w:rsid w:val="008724CF"/>
    <w:rsid w:val="00872901"/>
    <w:rsid w:val="0087534C"/>
    <w:rsid w:val="008825DA"/>
    <w:rsid w:val="00884B72"/>
    <w:rsid w:val="008937A6"/>
    <w:rsid w:val="00894E75"/>
    <w:rsid w:val="008A10C4"/>
    <w:rsid w:val="008A669F"/>
    <w:rsid w:val="008B2D07"/>
    <w:rsid w:val="008F3680"/>
    <w:rsid w:val="008F36BF"/>
    <w:rsid w:val="008F5197"/>
    <w:rsid w:val="008F5C45"/>
    <w:rsid w:val="0091487A"/>
    <w:rsid w:val="00915F97"/>
    <w:rsid w:val="00922C6C"/>
    <w:rsid w:val="009248A6"/>
    <w:rsid w:val="00925929"/>
    <w:rsid w:val="009261F0"/>
    <w:rsid w:val="009302D1"/>
    <w:rsid w:val="00936181"/>
    <w:rsid w:val="00936197"/>
    <w:rsid w:val="00937766"/>
    <w:rsid w:val="00940646"/>
    <w:rsid w:val="009415FC"/>
    <w:rsid w:val="00953EFD"/>
    <w:rsid w:val="009546D9"/>
    <w:rsid w:val="009570EF"/>
    <w:rsid w:val="00962AED"/>
    <w:rsid w:val="00962B1E"/>
    <w:rsid w:val="009710AF"/>
    <w:rsid w:val="009751C9"/>
    <w:rsid w:val="0097589B"/>
    <w:rsid w:val="009858DD"/>
    <w:rsid w:val="00986E87"/>
    <w:rsid w:val="0099301C"/>
    <w:rsid w:val="0099728C"/>
    <w:rsid w:val="009A317C"/>
    <w:rsid w:val="009A770F"/>
    <w:rsid w:val="009B0155"/>
    <w:rsid w:val="009B4011"/>
    <w:rsid w:val="009B5C25"/>
    <w:rsid w:val="009C25EB"/>
    <w:rsid w:val="009C273F"/>
    <w:rsid w:val="009C72B4"/>
    <w:rsid w:val="009C7E80"/>
    <w:rsid w:val="009E4DB9"/>
    <w:rsid w:val="009E62CD"/>
    <w:rsid w:val="009F0588"/>
    <w:rsid w:val="00A029A8"/>
    <w:rsid w:val="00A06259"/>
    <w:rsid w:val="00A13D05"/>
    <w:rsid w:val="00A2457C"/>
    <w:rsid w:val="00A3078D"/>
    <w:rsid w:val="00A56F1E"/>
    <w:rsid w:val="00A6021E"/>
    <w:rsid w:val="00A614CD"/>
    <w:rsid w:val="00A661F0"/>
    <w:rsid w:val="00A73BB6"/>
    <w:rsid w:val="00A848BE"/>
    <w:rsid w:val="00A8591D"/>
    <w:rsid w:val="00A9133B"/>
    <w:rsid w:val="00AC6BB5"/>
    <w:rsid w:val="00AC755D"/>
    <w:rsid w:val="00AE5478"/>
    <w:rsid w:val="00AF3E34"/>
    <w:rsid w:val="00AF70BC"/>
    <w:rsid w:val="00B000A7"/>
    <w:rsid w:val="00B01F29"/>
    <w:rsid w:val="00B211FF"/>
    <w:rsid w:val="00B27AB3"/>
    <w:rsid w:val="00B3092E"/>
    <w:rsid w:val="00B3337A"/>
    <w:rsid w:val="00B43355"/>
    <w:rsid w:val="00B438DA"/>
    <w:rsid w:val="00B47D95"/>
    <w:rsid w:val="00B47F90"/>
    <w:rsid w:val="00B60CC0"/>
    <w:rsid w:val="00B60F1F"/>
    <w:rsid w:val="00B66A31"/>
    <w:rsid w:val="00B71F19"/>
    <w:rsid w:val="00B730A8"/>
    <w:rsid w:val="00B807B4"/>
    <w:rsid w:val="00B85F50"/>
    <w:rsid w:val="00B93A95"/>
    <w:rsid w:val="00BA1F2C"/>
    <w:rsid w:val="00BA6D42"/>
    <w:rsid w:val="00BB3E0F"/>
    <w:rsid w:val="00BB3F7A"/>
    <w:rsid w:val="00BC197B"/>
    <w:rsid w:val="00BC4CA6"/>
    <w:rsid w:val="00BC5F26"/>
    <w:rsid w:val="00BD5A39"/>
    <w:rsid w:val="00BE5666"/>
    <w:rsid w:val="00BE69B8"/>
    <w:rsid w:val="00BE6C0F"/>
    <w:rsid w:val="00BF23A8"/>
    <w:rsid w:val="00BF771D"/>
    <w:rsid w:val="00C00F18"/>
    <w:rsid w:val="00C042EA"/>
    <w:rsid w:val="00C04BA8"/>
    <w:rsid w:val="00C0607C"/>
    <w:rsid w:val="00C14479"/>
    <w:rsid w:val="00C34570"/>
    <w:rsid w:val="00C6551D"/>
    <w:rsid w:val="00C77842"/>
    <w:rsid w:val="00C80AEB"/>
    <w:rsid w:val="00C83661"/>
    <w:rsid w:val="00C86F63"/>
    <w:rsid w:val="00C909A2"/>
    <w:rsid w:val="00C90BFE"/>
    <w:rsid w:val="00C93808"/>
    <w:rsid w:val="00C970B3"/>
    <w:rsid w:val="00C974F3"/>
    <w:rsid w:val="00CA01FB"/>
    <w:rsid w:val="00CA0330"/>
    <w:rsid w:val="00CA1757"/>
    <w:rsid w:val="00CA5B09"/>
    <w:rsid w:val="00CB042A"/>
    <w:rsid w:val="00CB1558"/>
    <w:rsid w:val="00CB395B"/>
    <w:rsid w:val="00CB6765"/>
    <w:rsid w:val="00CC15A7"/>
    <w:rsid w:val="00CC4F85"/>
    <w:rsid w:val="00CD05BE"/>
    <w:rsid w:val="00CD32F7"/>
    <w:rsid w:val="00CD3B75"/>
    <w:rsid w:val="00CD410E"/>
    <w:rsid w:val="00CD444E"/>
    <w:rsid w:val="00CE0996"/>
    <w:rsid w:val="00CE5309"/>
    <w:rsid w:val="00D10115"/>
    <w:rsid w:val="00D12C5A"/>
    <w:rsid w:val="00D16E35"/>
    <w:rsid w:val="00D21D58"/>
    <w:rsid w:val="00D226A5"/>
    <w:rsid w:val="00D2377C"/>
    <w:rsid w:val="00D40159"/>
    <w:rsid w:val="00D436DC"/>
    <w:rsid w:val="00D507D1"/>
    <w:rsid w:val="00D53B0C"/>
    <w:rsid w:val="00D542A2"/>
    <w:rsid w:val="00D71882"/>
    <w:rsid w:val="00D72945"/>
    <w:rsid w:val="00D74C18"/>
    <w:rsid w:val="00D82D71"/>
    <w:rsid w:val="00D858CC"/>
    <w:rsid w:val="00D90904"/>
    <w:rsid w:val="00D94C1F"/>
    <w:rsid w:val="00DA0CCD"/>
    <w:rsid w:val="00DA4850"/>
    <w:rsid w:val="00DB0ABC"/>
    <w:rsid w:val="00DB1FD6"/>
    <w:rsid w:val="00DC044C"/>
    <w:rsid w:val="00DC165B"/>
    <w:rsid w:val="00DD4017"/>
    <w:rsid w:val="00DD5085"/>
    <w:rsid w:val="00DF02E6"/>
    <w:rsid w:val="00DF78F1"/>
    <w:rsid w:val="00E02B47"/>
    <w:rsid w:val="00E02DC8"/>
    <w:rsid w:val="00E17A14"/>
    <w:rsid w:val="00E2740B"/>
    <w:rsid w:val="00E36FD0"/>
    <w:rsid w:val="00E373AF"/>
    <w:rsid w:val="00E40564"/>
    <w:rsid w:val="00E45B7C"/>
    <w:rsid w:val="00E46A0A"/>
    <w:rsid w:val="00E54E2D"/>
    <w:rsid w:val="00E670E8"/>
    <w:rsid w:val="00E7009E"/>
    <w:rsid w:val="00E863F1"/>
    <w:rsid w:val="00E90390"/>
    <w:rsid w:val="00EB288A"/>
    <w:rsid w:val="00EB6C11"/>
    <w:rsid w:val="00EC181B"/>
    <w:rsid w:val="00ED22E7"/>
    <w:rsid w:val="00ED6923"/>
    <w:rsid w:val="00EF2ADC"/>
    <w:rsid w:val="00EF7CD3"/>
    <w:rsid w:val="00F10101"/>
    <w:rsid w:val="00F35950"/>
    <w:rsid w:val="00F36500"/>
    <w:rsid w:val="00F46451"/>
    <w:rsid w:val="00F52390"/>
    <w:rsid w:val="00F52FCE"/>
    <w:rsid w:val="00F63D24"/>
    <w:rsid w:val="00F73AD6"/>
    <w:rsid w:val="00F75DE7"/>
    <w:rsid w:val="00F86114"/>
    <w:rsid w:val="00F91500"/>
    <w:rsid w:val="00F967E4"/>
    <w:rsid w:val="00FA3F47"/>
    <w:rsid w:val="00FB05FC"/>
    <w:rsid w:val="00FB296D"/>
    <w:rsid w:val="00FB61C1"/>
    <w:rsid w:val="00FC7528"/>
    <w:rsid w:val="00FC7767"/>
    <w:rsid w:val="00FD14FB"/>
    <w:rsid w:val="00FD2836"/>
    <w:rsid w:val="00FF0D08"/>
    <w:rsid w:val="00FF7528"/>
    <w:rsid w:val="00FF7DDB"/>
    <w:rsid w:val="01802C9E"/>
    <w:rsid w:val="01AE15BA"/>
    <w:rsid w:val="0200284C"/>
    <w:rsid w:val="02B96468"/>
    <w:rsid w:val="02CC61E9"/>
    <w:rsid w:val="04820ADC"/>
    <w:rsid w:val="07610150"/>
    <w:rsid w:val="07996868"/>
    <w:rsid w:val="080812F8"/>
    <w:rsid w:val="08ED3546"/>
    <w:rsid w:val="0A183F21"/>
    <w:rsid w:val="0AA409BD"/>
    <w:rsid w:val="0B0121C8"/>
    <w:rsid w:val="0BAA1613"/>
    <w:rsid w:val="0D2C5A88"/>
    <w:rsid w:val="0D5969CF"/>
    <w:rsid w:val="0D703BC7"/>
    <w:rsid w:val="0E1053AA"/>
    <w:rsid w:val="0EFE3F6B"/>
    <w:rsid w:val="0F403764"/>
    <w:rsid w:val="101E0686"/>
    <w:rsid w:val="115C68DD"/>
    <w:rsid w:val="11B036FF"/>
    <w:rsid w:val="12015736"/>
    <w:rsid w:val="1242172D"/>
    <w:rsid w:val="143B07EB"/>
    <w:rsid w:val="150661E5"/>
    <w:rsid w:val="152A0AFF"/>
    <w:rsid w:val="15F829AC"/>
    <w:rsid w:val="166167A3"/>
    <w:rsid w:val="16750903"/>
    <w:rsid w:val="168801D3"/>
    <w:rsid w:val="170F4F5C"/>
    <w:rsid w:val="177644D0"/>
    <w:rsid w:val="185F4F64"/>
    <w:rsid w:val="19016FCE"/>
    <w:rsid w:val="1AAC135F"/>
    <w:rsid w:val="1B300E3A"/>
    <w:rsid w:val="1B656D35"/>
    <w:rsid w:val="1C0E01AF"/>
    <w:rsid w:val="1C422D53"/>
    <w:rsid w:val="1C5F19D6"/>
    <w:rsid w:val="1C5F3784"/>
    <w:rsid w:val="1DDE2DCF"/>
    <w:rsid w:val="1E7E1EBC"/>
    <w:rsid w:val="1EB02F65"/>
    <w:rsid w:val="20D504B9"/>
    <w:rsid w:val="214C4198"/>
    <w:rsid w:val="222B4109"/>
    <w:rsid w:val="23C93BD9"/>
    <w:rsid w:val="2418246B"/>
    <w:rsid w:val="24585DA2"/>
    <w:rsid w:val="25F211C5"/>
    <w:rsid w:val="26301CEE"/>
    <w:rsid w:val="26A34BB6"/>
    <w:rsid w:val="2778394C"/>
    <w:rsid w:val="2940049A"/>
    <w:rsid w:val="2A9A00C1"/>
    <w:rsid w:val="2BF96B31"/>
    <w:rsid w:val="2C016606"/>
    <w:rsid w:val="2CAE5B32"/>
    <w:rsid w:val="2ED532DC"/>
    <w:rsid w:val="2EF20488"/>
    <w:rsid w:val="2F5F53F2"/>
    <w:rsid w:val="2F7964B4"/>
    <w:rsid w:val="30EC0F07"/>
    <w:rsid w:val="30FE1366"/>
    <w:rsid w:val="31523460"/>
    <w:rsid w:val="31D874D8"/>
    <w:rsid w:val="328C4750"/>
    <w:rsid w:val="33803243"/>
    <w:rsid w:val="34CC3626"/>
    <w:rsid w:val="36341B73"/>
    <w:rsid w:val="366C6D72"/>
    <w:rsid w:val="37377380"/>
    <w:rsid w:val="377063EE"/>
    <w:rsid w:val="3825367C"/>
    <w:rsid w:val="395B30CE"/>
    <w:rsid w:val="39D8471E"/>
    <w:rsid w:val="39D961DF"/>
    <w:rsid w:val="39E01679"/>
    <w:rsid w:val="3A2636DC"/>
    <w:rsid w:val="3A52627F"/>
    <w:rsid w:val="3A6F6E31"/>
    <w:rsid w:val="3AAE57BD"/>
    <w:rsid w:val="3AC058DE"/>
    <w:rsid w:val="3B6C3528"/>
    <w:rsid w:val="3C28373B"/>
    <w:rsid w:val="3D854663"/>
    <w:rsid w:val="3E690C74"/>
    <w:rsid w:val="3EDB7D99"/>
    <w:rsid w:val="3F593C0C"/>
    <w:rsid w:val="3FCD46EF"/>
    <w:rsid w:val="40073668"/>
    <w:rsid w:val="41166258"/>
    <w:rsid w:val="411B1F4A"/>
    <w:rsid w:val="412F731A"/>
    <w:rsid w:val="416E7E42"/>
    <w:rsid w:val="4242307D"/>
    <w:rsid w:val="42AD499A"/>
    <w:rsid w:val="42DC0DDB"/>
    <w:rsid w:val="43260821"/>
    <w:rsid w:val="443A6498"/>
    <w:rsid w:val="44472BCC"/>
    <w:rsid w:val="44EB5650"/>
    <w:rsid w:val="44FA23B6"/>
    <w:rsid w:val="45C40B20"/>
    <w:rsid w:val="45FB04BF"/>
    <w:rsid w:val="460B6441"/>
    <w:rsid w:val="4685178A"/>
    <w:rsid w:val="470E1780"/>
    <w:rsid w:val="4823125B"/>
    <w:rsid w:val="48BA396D"/>
    <w:rsid w:val="4A8561FD"/>
    <w:rsid w:val="4AAA37C2"/>
    <w:rsid w:val="4AF12273"/>
    <w:rsid w:val="4AF52584"/>
    <w:rsid w:val="4B6D0675"/>
    <w:rsid w:val="4B6E6C91"/>
    <w:rsid w:val="4B7B4309"/>
    <w:rsid w:val="4BC9209C"/>
    <w:rsid w:val="4BFE0015"/>
    <w:rsid w:val="4CA02E7A"/>
    <w:rsid w:val="4CB84D74"/>
    <w:rsid w:val="4E99569F"/>
    <w:rsid w:val="4E9D2F74"/>
    <w:rsid w:val="4F41189D"/>
    <w:rsid w:val="509B0528"/>
    <w:rsid w:val="50BB0112"/>
    <w:rsid w:val="51312C3A"/>
    <w:rsid w:val="517651DB"/>
    <w:rsid w:val="52036385"/>
    <w:rsid w:val="52D11C9C"/>
    <w:rsid w:val="53397B84"/>
    <w:rsid w:val="533D7EAC"/>
    <w:rsid w:val="53894668"/>
    <w:rsid w:val="54AA2E82"/>
    <w:rsid w:val="557859A2"/>
    <w:rsid w:val="563B4566"/>
    <w:rsid w:val="579B29E6"/>
    <w:rsid w:val="58030293"/>
    <w:rsid w:val="58604BDD"/>
    <w:rsid w:val="587548F6"/>
    <w:rsid w:val="5A272E2C"/>
    <w:rsid w:val="5A9515D1"/>
    <w:rsid w:val="5B8C0E98"/>
    <w:rsid w:val="5BBD57F6"/>
    <w:rsid w:val="5BC07095"/>
    <w:rsid w:val="5BC85F49"/>
    <w:rsid w:val="5BFDB513"/>
    <w:rsid w:val="5D902A97"/>
    <w:rsid w:val="5DCB1D21"/>
    <w:rsid w:val="5FB7255D"/>
    <w:rsid w:val="5FC65F60"/>
    <w:rsid w:val="5FF019A3"/>
    <w:rsid w:val="5FF27A39"/>
    <w:rsid w:val="60327E35"/>
    <w:rsid w:val="60CC028A"/>
    <w:rsid w:val="62C54F90"/>
    <w:rsid w:val="639635F7"/>
    <w:rsid w:val="646B0297"/>
    <w:rsid w:val="64F15940"/>
    <w:rsid w:val="655A2308"/>
    <w:rsid w:val="65E816C2"/>
    <w:rsid w:val="65F91B55"/>
    <w:rsid w:val="66D50BFB"/>
    <w:rsid w:val="677551D7"/>
    <w:rsid w:val="67B15328"/>
    <w:rsid w:val="67B850C4"/>
    <w:rsid w:val="6844104D"/>
    <w:rsid w:val="68975621"/>
    <w:rsid w:val="68A51AEC"/>
    <w:rsid w:val="68E63EB3"/>
    <w:rsid w:val="69012A9A"/>
    <w:rsid w:val="6917406C"/>
    <w:rsid w:val="69381225"/>
    <w:rsid w:val="69AF24F6"/>
    <w:rsid w:val="69F8719C"/>
    <w:rsid w:val="6CEF3424"/>
    <w:rsid w:val="6D341690"/>
    <w:rsid w:val="6E02353D"/>
    <w:rsid w:val="6ECF78C3"/>
    <w:rsid w:val="70102B68"/>
    <w:rsid w:val="7113780F"/>
    <w:rsid w:val="71287CA7"/>
    <w:rsid w:val="7183443D"/>
    <w:rsid w:val="72477770"/>
    <w:rsid w:val="725620A9"/>
    <w:rsid w:val="728F0316"/>
    <w:rsid w:val="729047E4"/>
    <w:rsid w:val="74CC6652"/>
    <w:rsid w:val="751E519F"/>
    <w:rsid w:val="76DB3120"/>
    <w:rsid w:val="780B56E4"/>
    <w:rsid w:val="78434E7D"/>
    <w:rsid w:val="785B5D23"/>
    <w:rsid w:val="78972AD3"/>
    <w:rsid w:val="7927265A"/>
    <w:rsid w:val="79AD0B46"/>
    <w:rsid w:val="7A5D3EBA"/>
    <w:rsid w:val="7B214D90"/>
    <w:rsid w:val="7B5D6256"/>
    <w:rsid w:val="7BBC11CF"/>
    <w:rsid w:val="7CDF7FAC"/>
    <w:rsid w:val="7DAB6BB7"/>
    <w:rsid w:val="7EBF4B32"/>
    <w:rsid w:val="7EDA3BCE"/>
    <w:rsid w:val="7F65392B"/>
    <w:rsid w:val="7FD14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97"/>
    <w:qFormat/>
    <w:uiPriority w:val="0"/>
    <w:pPr>
      <w:keepNext/>
      <w:keepLines/>
      <w:spacing w:before="260" w:after="260" w:line="413" w:lineRule="auto"/>
      <w:outlineLvl w:val="2"/>
    </w:pPr>
    <w:rPr>
      <w:b/>
      <w:sz w:val="32"/>
    </w:rPr>
  </w:style>
  <w:style w:type="paragraph" w:styleId="7">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8">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81"/>
    <w:qFormat/>
    <w:uiPriority w:val="0"/>
    <w:pPr>
      <w:spacing w:after="120" w:line="240" w:lineRule="auto"/>
      <w:ind w:left="420" w:leftChars="200" w:firstLine="420" w:firstLineChars="200"/>
    </w:pPr>
  </w:style>
  <w:style w:type="paragraph" w:styleId="3">
    <w:name w:val="Body Text Indent"/>
    <w:basedOn w:val="1"/>
    <w:link w:val="82"/>
    <w:qFormat/>
    <w:uiPriority w:val="0"/>
    <w:pPr>
      <w:spacing w:line="700" w:lineRule="exact"/>
      <w:ind w:left="960"/>
    </w:pPr>
    <w:rPr>
      <w:sz w:val="44"/>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5"/>
    <w:qFormat/>
    <w:uiPriority w:val="0"/>
    <w:pPr>
      <w:adjustRightInd w:val="0"/>
      <w:spacing w:line="360" w:lineRule="atLeast"/>
      <w:jc w:val="left"/>
      <w:textAlignment w:val="baseline"/>
    </w:pPr>
    <w:rPr>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Body Text"/>
    <w:basedOn w:val="1"/>
    <w:next w:val="1"/>
    <w:link w:val="255"/>
    <w:autoRedefine/>
    <w:qFormat/>
    <w:uiPriority w:val="0"/>
    <w:rPr>
      <w:rFonts w:ascii="仿宋_GB2312" w:eastAsia="仿宋_GB2312"/>
      <w:sz w:val="32"/>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89"/>
    <w:autoRedefine/>
    <w:qFormat/>
    <w:uiPriority w:val="0"/>
    <w:rPr>
      <w:rFonts w:ascii="宋体" w:hAnsi="Courier New"/>
    </w:rPr>
  </w:style>
  <w:style w:type="paragraph" w:styleId="32">
    <w:name w:val="toc 8"/>
    <w:basedOn w:val="1"/>
    <w:next w:val="1"/>
    <w:autoRedefine/>
    <w:qFormat/>
    <w:uiPriority w:val="0"/>
    <w:pPr>
      <w:ind w:left="2940" w:leftChars="1400"/>
    </w:pPr>
  </w:style>
  <w:style w:type="paragraph" w:styleId="33">
    <w:name w:val="Date"/>
    <w:basedOn w:val="1"/>
    <w:next w:val="1"/>
    <w:link w:val="109"/>
    <w:autoRedefine/>
    <w:qFormat/>
    <w:uiPriority w:val="99"/>
  </w:style>
  <w:style w:type="paragraph" w:styleId="34">
    <w:name w:val="Body Text Indent 2"/>
    <w:basedOn w:val="1"/>
    <w:link w:val="71"/>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link w:val="85"/>
    <w:autoRedefine/>
    <w:qFormat/>
    <w:uiPriority w:val="0"/>
    <w:pPr>
      <w:tabs>
        <w:tab w:val="center" w:pos="4153"/>
        <w:tab w:val="right" w:pos="8306"/>
      </w:tabs>
      <w:snapToGrid w:val="0"/>
      <w:jc w:val="left"/>
    </w:pPr>
    <w:rPr>
      <w:sz w:val="18"/>
    </w:rPr>
  </w:style>
  <w:style w:type="paragraph" w:styleId="37">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69"/>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rPr>
  </w:style>
  <w:style w:type="paragraph" w:styleId="54">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4"/>
    <w:qFormat/>
    <w:uiPriority w:val="0"/>
    <w:pPr>
      <w:adjustRightInd/>
      <w:spacing w:line="240" w:lineRule="auto"/>
      <w:textAlignment w:val="auto"/>
    </w:pPr>
  </w:style>
  <w:style w:type="paragraph" w:styleId="56">
    <w:name w:val="Body Text First Indent"/>
    <w:basedOn w:val="24"/>
    <w:autoRedefine/>
    <w:qFormat/>
    <w:uiPriority w:val="0"/>
    <w:pPr>
      <w:spacing w:line="360" w:lineRule="auto"/>
      <w:ind w:firstLine="420"/>
    </w:pPr>
    <w:rPr>
      <w:rFonts w:ascii="宋体" w:hAnsi="宋体"/>
      <w:sz w:val="24"/>
    </w:r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Char"/>
    <w:link w:val="41"/>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Char"/>
    <w:link w:val="34"/>
    <w:autoRedefine/>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Char"/>
    <w:basedOn w:val="75"/>
    <w:link w:val="55"/>
    <w:autoRedefine/>
    <w:qFormat/>
    <w:uiPriority w:val="0"/>
    <w:rPr>
      <w:sz w:val="24"/>
    </w:rPr>
  </w:style>
  <w:style w:type="character" w:customStyle="1" w:styleId="75">
    <w:name w:val="批注文字 Char"/>
    <w:link w:val="21"/>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首行缩进 2 Char"/>
    <w:basedOn w:val="82"/>
    <w:link w:val="2"/>
    <w:autoRedefine/>
    <w:qFormat/>
    <w:uiPriority w:val="0"/>
    <w:rPr>
      <w:kern w:val="2"/>
      <w:sz w:val="44"/>
    </w:rPr>
  </w:style>
  <w:style w:type="character" w:customStyle="1" w:styleId="82">
    <w:name w:val="正文文本缩进 Char"/>
    <w:link w:val="3"/>
    <w:autoRedefine/>
    <w:qFormat/>
    <w:uiPriority w:val="0"/>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Char"/>
    <w:link w:val="36"/>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Char"/>
    <w:link w:val="31"/>
    <w:autoRedefine/>
    <w:qFormat/>
    <w:locked/>
    <w:uiPriority w:val="0"/>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5"/>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Char"/>
    <w:link w:val="6"/>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0"/>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 Char"/>
    <w:link w:val="33"/>
    <w:autoRedefine/>
    <w:qFormat/>
    <w:uiPriority w:val="99"/>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7"/>
    <w:autoRedefine/>
    <w:qFormat/>
    <w:uiPriority w:val="99"/>
    <w:rPr>
      <w:kern w:val="2"/>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9"/>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4"/>
    <w:autoRedefine/>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4"/>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3"/>
    <w:autoRedefine/>
    <w:qFormat/>
    <w:uiPriority w:val="0"/>
    <w:pPr>
      <w:spacing w:before="60" w:after="60" w:line="360" w:lineRule="auto"/>
      <w:ind w:left="0" w:firstLine="482"/>
    </w:pPr>
    <w:rPr>
      <w:rFonts w:ascii="Arial" w:hAnsi="Arial"/>
      <w:sz w:val="24"/>
    </w:rPr>
  </w:style>
  <w:style w:type="paragraph" w:customStyle="1" w:styleId="141">
    <w:name w:val="CSS1级正文 Char"/>
    <w:basedOn w:val="24"/>
    <w:autoRedefine/>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表头样式"/>
    <w:basedOn w:val="1"/>
    <w:autoRedefine/>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4"/>
    <w:next w:val="4"/>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qFormat/>
    <w:uiPriority w:val="0"/>
    <w:pPr>
      <w:spacing w:beforeLines="50" w:line="360" w:lineRule="auto"/>
      <w:ind w:firstLine="200" w:firstLineChars="200"/>
    </w:pPr>
    <w:rPr>
      <w:spacing w:val="2"/>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Char"/>
    <w:basedOn w:val="1"/>
    <w:autoRedefine/>
    <w:qFormat/>
    <w:uiPriority w:val="0"/>
    <w:pPr>
      <w:spacing w:line="240" w:lineRule="atLeast"/>
      <w:ind w:left="420" w:firstLine="420"/>
    </w:pPr>
    <w:rPr>
      <w:kern w:val="0"/>
    </w:rPr>
  </w:style>
  <w:style w:type="paragraph" w:customStyle="1" w:styleId="161">
    <w:name w:val="列表项目"/>
    <w:basedOn w:val="1"/>
    <w:autoRedefine/>
    <w:qFormat/>
    <w:uiPriority w:val="0"/>
    <w:pPr>
      <w:tabs>
        <w:tab w:val="left" w:pos="420"/>
      </w:tabs>
      <w:spacing w:line="288" w:lineRule="auto"/>
      <w:ind w:left="840" w:leftChars="200" w:hanging="420" w:hangingChars="200"/>
    </w:pPr>
  </w:style>
  <w:style w:type="paragraph" w:customStyle="1" w:styleId="162">
    <w:name w:val="列出段落1"/>
    <w:next w:val="18"/>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可研正文"/>
    <w:basedOn w:val="24"/>
    <w:autoRedefine/>
    <w:qFormat/>
    <w:uiPriority w:val="0"/>
    <w:pPr>
      <w:adjustRightInd w:val="0"/>
      <w:snapToGrid w:val="0"/>
      <w:spacing w:line="440" w:lineRule="exact"/>
      <w:ind w:firstLine="567"/>
    </w:pPr>
    <w:rPr>
      <w:sz w:val="2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样式 标题 6第五层条 + 三号 段前: 0.5 行"/>
    <w:basedOn w:val="9"/>
    <w:autoRedefine/>
    <w:qFormat/>
    <w:uiPriority w:val="0"/>
    <w:pPr>
      <w:widowControl/>
      <w:adjustRightInd/>
      <w:snapToGrid/>
      <w:spacing w:beforeLines="50"/>
      <w:jc w:val="left"/>
    </w:pPr>
    <w:rPr>
      <w:snapToGrid w:val="0"/>
      <w:kern w:val="24"/>
      <w:sz w:val="28"/>
    </w:rPr>
  </w:style>
  <w:style w:type="paragraph" w:customStyle="1" w:styleId="169">
    <w:name w:val="1"/>
    <w:basedOn w:val="1"/>
    <w:next w:val="31"/>
    <w:autoRedefine/>
    <w:qFormat/>
    <w:uiPriority w:val="0"/>
    <w:rPr>
      <w:rFonts w:ascii="宋体" w:hAnsi="Courier New"/>
    </w:rPr>
  </w:style>
  <w:style w:type="paragraph" w:customStyle="1" w:styleId="170">
    <w:name w:val="没有缩进（为图形使用）"/>
    <w:basedOn w:val="1"/>
    <w:autoRedefine/>
    <w:qFormat/>
    <w:uiPriority w:val="0"/>
    <w:pPr>
      <w:spacing w:before="120" w:after="120" w:line="360" w:lineRule="auto"/>
    </w:pPr>
    <w:rPr>
      <w:sz w:val="24"/>
    </w:rPr>
  </w:style>
  <w:style w:type="paragraph" w:customStyle="1" w:styleId="171">
    <w:name w:val="标题无"/>
    <w:basedOn w:val="1"/>
    <w:autoRedefine/>
    <w:qFormat/>
    <w:uiPriority w:val="0"/>
    <w:pPr>
      <w:spacing w:line="360" w:lineRule="auto"/>
    </w:pPr>
    <w:rPr>
      <w:sz w:val="24"/>
    </w:rPr>
  </w:style>
  <w:style w:type="paragraph" w:customStyle="1" w:styleId="172">
    <w:name w:val="修订1"/>
    <w:autoRedefine/>
    <w:qFormat/>
    <w:uiPriority w:val="0"/>
    <w:rPr>
      <w:rFonts w:ascii="Calibri" w:hAnsi="Calibri" w:eastAsia="宋体" w:cs="Times New Roman"/>
      <w:kern w:val="2"/>
      <w:sz w:val="21"/>
      <w:lang w:val="en-US" w:eastAsia="zh-CN" w:bidi="ar-SA"/>
    </w:rPr>
  </w:style>
  <w:style w:type="paragraph" w:customStyle="1" w:styleId="173">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autoRedefine/>
    <w:qFormat/>
    <w:uiPriority w:val="0"/>
    <w:pPr>
      <w:spacing w:before="120" w:after="120" w:line="360" w:lineRule="auto"/>
      <w:jc w:val="center"/>
    </w:pPr>
    <w:rPr>
      <w:rFonts w:eastAsia="仿宋_GB2312"/>
      <w:b/>
      <w:sz w:val="24"/>
    </w:rPr>
  </w:style>
  <w:style w:type="paragraph" w:customStyle="1" w:styleId="175">
    <w:name w:val="Char Char14 Char Char"/>
    <w:basedOn w:val="1"/>
    <w:autoRedefine/>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autoRedefine/>
    <w:qFormat/>
    <w:uiPriority w:val="0"/>
    <w:pPr>
      <w:spacing w:line="300" w:lineRule="auto"/>
      <w:ind w:firstLine="200" w:firstLineChars="200"/>
    </w:pPr>
    <w:rPr>
      <w:sz w:val="24"/>
    </w:rPr>
  </w:style>
  <w:style w:type="paragraph" w:customStyle="1" w:styleId="179">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autoRedefine/>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sz w:val="30"/>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autoRedefine/>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numId w:val="0"/>
      </w:numPr>
      <w:spacing w:beforeLines="0" w:afterLines="0"/>
      <w:ind w:left="525"/>
      <w:outlineLvl w:val="2"/>
    </w:pPr>
    <w:rPr>
      <w:sz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7"/>
    <w:autoRedefine/>
    <w:qFormat/>
    <w:uiPriority w:val="0"/>
    <w:pPr>
      <w:ind w:firstLine="480" w:firstLineChars="200"/>
    </w:pPr>
  </w:style>
  <w:style w:type="paragraph" w:customStyle="1" w:styleId="197">
    <w:name w:val="表文字"/>
    <w:autoRedefine/>
    <w:qFormat/>
    <w:uiPriority w:val="0"/>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7"/>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6"/>
    <w:autoRedefine/>
    <w:qFormat/>
    <w:uiPriority w:val="0"/>
    <w:pPr>
      <w:tabs>
        <w:tab w:val="left" w:pos="709"/>
        <w:tab w:val="left" w:pos="1620"/>
      </w:tabs>
      <w:ind w:left="1620" w:hanging="360"/>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7"/>
    <w:autoRedefine/>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4"/>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4"/>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5"/>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5"/>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4"/>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9"/>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7"/>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6"/>
    <w:next w:val="56"/>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1"/>
      </w:numPr>
      <w:spacing w:line="360" w:lineRule="auto"/>
    </w:pPr>
    <w:rPr>
      <w:rFonts w:eastAsia="仿宋_GB2312"/>
    </w:rPr>
  </w:style>
  <w:style w:type="paragraph" w:customStyle="1" w:styleId="250">
    <w:name w:val="bt"/>
    <w:basedOn w:val="1"/>
    <w:next w:val="24"/>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autoRedefine/>
    <w:qFormat/>
    <w:uiPriority w:val="0"/>
    <w:rPr>
      <w:color w:val="605E5C"/>
      <w:shd w:val="clear" w:color="auto" w:fill="E1DFDD"/>
    </w:rPr>
  </w:style>
  <w:style w:type="paragraph" w:customStyle="1" w:styleId="252">
    <w:name w:val="目录 11"/>
    <w:basedOn w:val="1"/>
    <w:next w:val="1"/>
    <w:autoRedefine/>
    <w:qFormat/>
    <w:uiPriority w:val="0"/>
    <w:pPr>
      <w:jc w:val="center"/>
    </w:pPr>
    <w:rPr>
      <w:sz w:val="30"/>
      <w:szCs w:val="30"/>
    </w:r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 w:type="character" w:customStyle="1" w:styleId="254">
    <w:name w:val="fontstyle01"/>
    <w:basedOn w:val="59"/>
    <w:autoRedefine/>
    <w:qFormat/>
    <w:uiPriority w:val="0"/>
    <w:rPr>
      <w:rFonts w:hint="default" w:ascii="方正仿宋_GBK" w:hAnsi="方正仿宋_GBK"/>
      <w:color w:val="000000"/>
      <w:sz w:val="28"/>
      <w:szCs w:val="28"/>
    </w:rPr>
  </w:style>
  <w:style w:type="character" w:customStyle="1" w:styleId="255">
    <w:name w:val="正文文本 Char"/>
    <w:basedOn w:val="59"/>
    <w:link w:val="24"/>
    <w:autoRedefine/>
    <w:qFormat/>
    <w:uiPriority w:val="0"/>
    <w:rPr>
      <w:rFonts w:ascii="仿宋_GB2312" w:hAnsi="Calibri" w:eastAsia="仿宋_GB2312"/>
      <w:kern w:val="2"/>
      <w:sz w:val="32"/>
      <w:szCs w:val="21"/>
    </w:rPr>
  </w:style>
  <w:style w:type="paragraph" w:styleId="256">
    <w:name w:val="Quote"/>
    <w:next w:val="1"/>
    <w:link w:val="257"/>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57">
    <w:name w:val="引用 Char"/>
    <w:basedOn w:val="59"/>
    <w:link w:val="256"/>
    <w:autoRedefine/>
    <w:qFormat/>
    <w:uiPriority w:val="0"/>
    <w:rPr>
      <w:i/>
      <w:sz w:val="21"/>
    </w:rPr>
  </w:style>
  <w:style w:type="paragraph" w:styleId="258">
    <w:name w:val="List Paragraph"/>
    <w:basedOn w:val="1"/>
    <w:autoRedefine/>
    <w:unhideWhenUsed/>
    <w:qFormat/>
    <w:uiPriority w:val="99"/>
    <w:pPr>
      <w:ind w:firstLine="420" w:firstLineChars="200"/>
    </w:pPr>
  </w:style>
  <w:style w:type="paragraph" w:customStyle="1" w:styleId="259">
    <w:name w:val="目录 53"/>
    <w:next w:val="1"/>
    <w:autoRedefine/>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1088</Words>
  <Characters>6204</Characters>
  <Lines>51</Lines>
  <Paragraphs>14</Paragraphs>
  <TotalTime>107</TotalTime>
  <ScaleCrop>false</ScaleCrop>
  <LinksUpToDate>false</LinksUpToDate>
  <CharactersWithSpaces>7278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2022-11-08T03:58:00Z</dcterms:created>
  <dc:creator>Administrator.DESKTOP-5HCCS7Q</dc:creator>
  <cp:lastModifiedBy>妮儿</cp:lastModifiedBy>
  <cp:lastPrinted>2018-08-06T16:28:00Z</cp:lastPrinted>
  <dcterms:modified xsi:type="dcterms:W3CDTF">2023-12-21T01:06:38Z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817FB59CC33C4212AFC2697D4BC47469_13</vt:lpwstr>
  </property>
</Properties>
</file>