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ind w:firstLine="640" w:firstLineChars="200"/>
        <w:jc w:val="center"/>
        <w:rPr>
          <w:rFonts w:ascii="Times New Roman" w:hAnsi="Times New Roman" w:eastAsia="方正仿宋_GBK"/>
          <w:sz w:val="32"/>
          <w:szCs w:val="32"/>
        </w:rPr>
      </w:pPr>
    </w:p>
    <w:p>
      <w:pPr>
        <w:spacing w:line="594" w:lineRule="exact"/>
        <w:ind w:firstLine="963" w:firstLineChars="200"/>
        <w:jc w:val="center"/>
        <w:outlineLvl w:val="0"/>
        <w:rPr>
          <w:rFonts w:ascii="Times New Roman" w:hAnsi="Times New Roman" w:eastAsia="方正仿宋_GBK"/>
          <w:b/>
          <w:bCs/>
          <w:color w:val="FF0000"/>
          <w:spacing w:val="80"/>
          <w:sz w:val="32"/>
          <w:szCs w:val="32"/>
        </w:rPr>
      </w:pPr>
    </w:p>
    <w:p>
      <w:pPr>
        <w:spacing w:line="594" w:lineRule="exact"/>
        <w:jc w:val="center"/>
        <w:outlineLvl w:val="0"/>
        <w:rPr>
          <w:rFonts w:ascii="Times New Roman" w:hAnsi="Times New Roman" w:eastAsia="方正小标宋_GBK"/>
          <w:sz w:val="44"/>
          <w:szCs w:val="44"/>
        </w:rPr>
      </w:pPr>
      <w:bookmarkStart w:id="0" w:name="_Toc25458"/>
      <w:bookmarkStart w:id="1" w:name="_Toc3463"/>
      <w:bookmarkStart w:id="2" w:name="_Toc18159"/>
      <w:bookmarkStart w:id="3" w:name="_Toc313893526"/>
      <w:bookmarkStart w:id="4" w:name="_Toc317775175"/>
      <w:bookmarkStart w:id="5" w:name="_Toc18881"/>
      <w:bookmarkStart w:id="6" w:name="_Toc26820"/>
      <w:bookmarkStart w:id="7" w:name="_Toc7625"/>
      <w:bookmarkStart w:id="8" w:name="_Toc12808"/>
      <w:r>
        <w:rPr>
          <w:rFonts w:ascii="Times New Roman" w:hAnsi="Times New Roman" w:eastAsia="方正小标宋_GBK"/>
          <w:sz w:val="44"/>
          <w:szCs w:val="44"/>
        </w:rPr>
        <w:t>重庆市中医骨科医院</w:t>
      </w:r>
    </w:p>
    <w:p>
      <w:pPr>
        <w:autoSpaceDE w:val="0"/>
        <w:autoSpaceDN w:val="0"/>
        <w:adjustRightInd w:val="0"/>
        <w:snapToGrid w:val="0"/>
        <w:spacing w:line="594" w:lineRule="exact"/>
        <w:ind w:firstLine="880" w:firstLineChars="200"/>
        <w:jc w:val="center"/>
        <w:rPr>
          <w:rFonts w:ascii="Times New Roman" w:hAnsi="Times New Roman" w:eastAsia="方正小标宋_GBK"/>
          <w:sz w:val="44"/>
          <w:szCs w:val="44"/>
        </w:rPr>
      </w:pPr>
    </w:p>
    <w:p>
      <w:pPr>
        <w:autoSpaceDE w:val="0"/>
        <w:autoSpaceDN w:val="0"/>
        <w:adjustRightInd w:val="0"/>
        <w:snapToGrid w:val="0"/>
        <w:spacing w:line="594" w:lineRule="exact"/>
        <w:jc w:val="center"/>
        <w:rPr>
          <w:rFonts w:ascii="Times New Roman" w:hAnsi="Times New Roman" w:eastAsia="方正小标宋_GBK"/>
          <w:kern w:val="0"/>
          <w:sz w:val="44"/>
          <w:szCs w:val="44"/>
        </w:rPr>
      </w:pPr>
      <w:r>
        <w:rPr>
          <w:rFonts w:ascii="Times New Roman" w:hAnsi="Times New Roman" w:eastAsia="方正小标宋_GBK"/>
          <w:sz w:val="44"/>
          <w:szCs w:val="44"/>
        </w:rPr>
        <w:t>招标文件</w:t>
      </w:r>
    </w:p>
    <w:p>
      <w:pPr>
        <w:snapToGrid w:val="0"/>
        <w:spacing w:line="594" w:lineRule="exact"/>
        <w:ind w:firstLine="640" w:firstLineChars="200"/>
        <w:rPr>
          <w:rFonts w:ascii="Times New Roman" w:hAnsi="Times New Roman" w:eastAsia="方正仿宋_GBK"/>
          <w:sz w:val="32"/>
          <w:szCs w:val="32"/>
        </w:rPr>
      </w:pPr>
    </w:p>
    <w:p>
      <w:pPr>
        <w:snapToGrid w:val="0"/>
        <w:spacing w:line="594" w:lineRule="exact"/>
        <w:ind w:firstLine="640" w:firstLineChars="200"/>
        <w:rPr>
          <w:rFonts w:ascii="Times New Roman" w:hAnsi="Times New Roman" w:eastAsia="方正仿宋_GBK"/>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left"/>
        <w:rPr>
          <w:rFonts w:ascii="Times New Roman" w:hAnsi="Times New Roman" w:eastAsia="方正仿宋_GBK"/>
          <w:kern w:val="0"/>
          <w:sz w:val="32"/>
          <w:szCs w:val="32"/>
        </w:rPr>
      </w:pPr>
    </w:p>
    <w:p>
      <w:pPr>
        <w:spacing w:line="594" w:lineRule="exact"/>
        <w:ind w:firstLine="640" w:firstLineChars="200"/>
        <w:jc w:val="left"/>
        <w:rPr>
          <w:rFonts w:ascii="仿宋" w:hAnsi="仿宋" w:eastAsia="仿宋" w:cs="仿宋"/>
          <w:kern w:val="0"/>
          <w:sz w:val="32"/>
          <w:szCs w:val="32"/>
        </w:rPr>
      </w:pPr>
    </w:p>
    <w:p>
      <w:pPr>
        <w:spacing w:line="594" w:lineRule="exact"/>
        <w:ind w:firstLine="640" w:firstLineChars="200"/>
        <w:jc w:val="center"/>
        <w:rPr>
          <w:rFonts w:ascii="仿宋" w:hAnsi="仿宋" w:eastAsia="仿宋" w:cs="仿宋"/>
          <w:bCs/>
          <w:color w:val="333333"/>
          <w:kern w:val="0"/>
          <w:sz w:val="30"/>
          <w:szCs w:val="30"/>
        </w:rPr>
      </w:pPr>
      <w:r>
        <w:rPr>
          <w:rFonts w:hint="eastAsia" w:ascii="仿宋" w:hAnsi="仿宋" w:eastAsia="仿宋" w:cs="仿宋"/>
          <w:kern w:val="0"/>
          <w:sz w:val="32"/>
          <w:szCs w:val="32"/>
        </w:rPr>
        <w:t>项目名称：</w:t>
      </w:r>
      <w:r>
        <w:rPr>
          <w:rFonts w:hint="eastAsia" w:ascii="仿宋" w:hAnsi="仿宋" w:eastAsia="仿宋" w:cs="仿宋"/>
          <w:bCs/>
          <w:color w:val="333333"/>
          <w:kern w:val="0"/>
          <w:sz w:val="30"/>
          <w:szCs w:val="30"/>
        </w:rPr>
        <w:t>A栋负一层会议室、阅片室、骨密度室及</w:t>
      </w:r>
    </w:p>
    <w:p>
      <w:pPr>
        <w:spacing w:line="594" w:lineRule="exact"/>
        <w:ind w:firstLine="600" w:firstLineChars="200"/>
        <w:jc w:val="center"/>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bCs/>
          <w:color w:val="333333"/>
          <w:kern w:val="0"/>
          <w:sz w:val="30"/>
          <w:szCs w:val="30"/>
        </w:rPr>
        <w:t xml:space="preserve">     4层DR室、骨密度室装修改造工程</w:t>
      </w:r>
    </w:p>
    <w:p>
      <w:pPr>
        <w:spacing w:line="594" w:lineRule="exact"/>
        <w:ind w:firstLine="1600" w:firstLineChars="500"/>
        <w:rPr>
          <w:rFonts w:ascii="仿宋" w:hAnsi="仿宋" w:eastAsia="仿宋" w:cs="仿宋"/>
          <w:sz w:val="32"/>
          <w:szCs w:val="32"/>
        </w:rPr>
      </w:pPr>
      <w:r>
        <w:rPr>
          <w:rFonts w:hint="eastAsia" w:ascii="仿宋" w:hAnsi="仿宋" w:eastAsia="仿宋" w:cs="仿宋"/>
          <w:kern w:val="0"/>
          <w:sz w:val="32"/>
          <w:szCs w:val="32"/>
        </w:rPr>
        <w:t>采购人：重庆市中医骨科医院</w:t>
      </w:r>
    </w:p>
    <w:p>
      <w:pPr>
        <w:autoSpaceDE w:val="0"/>
        <w:autoSpaceDN w:val="0"/>
        <w:adjustRightInd w:val="0"/>
        <w:snapToGrid w:val="0"/>
        <w:spacing w:line="594" w:lineRule="exact"/>
        <w:ind w:firstLine="640" w:firstLineChars="200"/>
        <w:jc w:val="center"/>
        <w:rPr>
          <w:rFonts w:ascii="仿宋" w:hAnsi="仿宋" w:eastAsia="仿宋" w:cs="仿宋"/>
          <w:kern w:val="0"/>
          <w:sz w:val="32"/>
          <w:szCs w:val="32"/>
        </w:rPr>
      </w:pPr>
    </w:p>
    <w:p>
      <w:pPr>
        <w:autoSpaceDE w:val="0"/>
        <w:autoSpaceDN w:val="0"/>
        <w:adjustRightInd w:val="0"/>
        <w:snapToGrid w:val="0"/>
        <w:spacing w:line="594" w:lineRule="exact"/>
        <w:ind w:firstLine="640" w:firstLineChars="200"/>
        <w:jc w:val="center"/>
        <w:rPr>
          <w:rFonts w:ascii="仿宋" w:hAnsi="仿宋" w:eastAsia="仿宋" w:cs="仿宋"/>
          <w:kern w:val="0"/>
          <w:sz w:val="32"/>
          <w:szCs w:val="32"/>
        </w:rPr>
      </w:pPr>
    </w:p>
    <w:p>
      <w:pPr>
        <w:autoSpaceDE w:val="0"/>
        <w:autoSpaceDN w:val="0"/>
        <w:adjustRightInd w:val="0"/>
        <w:snapToGrid w:val="0"/>
        <w:spacing w:line="594" w:lineRule="exact"/>
        <w:ind w:firstLine="640" w:firstLineChars="200"/>
        <w:rPr>
          <w:rFonts w:ascii="仿宋" w:hAnsi="仿宋" w:eastAsia="仿宋" w:cs="仿宋"/>
          <w:kern w:val="0"/>
          <w:sz w:val="32"/>
          <w:szCs w:val="32"/>
        </w:rPr>
      </w:pPr>
    </w:p>
    <w:p>
      <w:pPr>
        <w:spacing w:line="594" w:lineRule="exact"/>
        <w:ind w:firstLine="640" w:firstLineChars="200"/>
        <w:rPr>
          <w:rFonts w:ascii="仿宋" w:hAnsi="仿宋" w:eastAsia="仿宋" w:cs="仿宋"/>
          <w:sz w:val="32"/>
          <w:szCs w:val="32"/>
        </w:rPr>
      </w:pPr>
    </w:p>
    <w:p>
      <w:pPr>
        <w:pStyle w:val="2"/>
        <w:ind w:firstLine="880"/>
        <w:rPr>
          <w:rFonts w:ascii="仿宋" w:hAnsi="仿宋" w:eastAsia="仿宋" w:cs="仿宋"/>
        </w:rPr>
      </w:pPr>
    </w:p>
    <w:p>
      <w:pPr>
        <w:pStyle w:val="2"/>
        <w:ind w:firstLine="880"/>
        <w:rPr>
          <w:rFonts w:ascii="仿宋" w:hAnsi="仿宋" w:eastAsia="仿宋" w:cs="仿宋"/>
        </w:rPr>
      </w:pPr>
    </w:p>
    <w:p>
      <w:pPr>
        <w:pStyle w:val="2"/>
        <w:ind w:firstLine="880"/>
        <w:rPr>
          <w:rFonts w:ascii="仿宋" w:hAnsi="仿宋" w:eastAsia="仿宋" w:cs="仿宋"/>
        </w:rPr>
      </w:pPr>
    </w:p>
    <w:p>
      <w:pPr>
        <w:pStyle w:val="2"/>
        <w:ind w:firstLine="880"/>
        <w:rPr>
          <w:rFonts w:ascii="仿宋" w:hAnsi="仿宋" w:eastAsia="仿宋" w:cs="仿宋"/>
        </w:rPr>
      </w:pPr>
    </w:p>
    <w:p>
      <w:pPr>
        <w:spacing w:line="594" w:lineRule="exact"/>
        <w:jc w:val="center"/>
        <w:rPr>
          <w:rFonts w:ascii="仿宋" w:hAnsi="仿宋" w:eastAsia="仿宋" w:cs="仿宋"/>
          <w:b/>
          <w:bCs/>
          <w:color w:val="000000"/>
          <w:kern w:val="0"/>
          <w:sz w:val="32"/>
          <w:szCs w:val="32"/>
        </w:rPr>
      </w:pPr>
      <w:r>
        <w:rPr>
          <w:rFonts w:hint="eastAsia" w:ascii="仿宋" w:hAnsi="仿宋" w:eastAsia="仿宋" w:cs="仿宋"/>
          <w:sz w:val="32"/>
          <w:szCs w:val="32"/>
        </w:rPr>
        <w:t>二〇二四年一月</w:t>
      </w:r>
      <w:bookmarkEnd w:id="0"/>
      <w:bookmarkEnd w:id="1"/>
      <w:bookmarkEnd w:id="2"/>
      <w:bookmarkEnd w:id="3"/>
      <w:bookmarkEnd w:id="4"/>
      <w:bookmarkEnd w:id="5"/>
      <w:bookmarkEnd w:id="6"/>
      <w:bookmarkEnd w:id="7"/>
      <w:bookmarkEnd w:id="8"/>
    </w:p>
    <w:p>
      <w:pPr>
        <w:pStyle w:val="2"/>
        <w:ind w:firstLine="880"/>
        <w:jc w:val="center"/>
        <w:rPr>
          <w:rFonts w:ascii="仿宋" w:hAnsi="仿宋" w:eastAsia="仿宋" w:cs="仿宋"/>
        </w:rPr>
      </w:pPr>
    </w:p>
    <w:p>
      <w:pPr>
        <w:widowControl/>
        <w:jc w:val="left"/>
        <w:rPr>
          <w:rFonts w:ascii="仿宋" w:hAnsi="仿宋" w:eastAsia="仿宋" w:cs="仿宋"/>
          <w:sz w:val="44"/>
        </w:rPr>
      </w:pPr>
      <w:r>
        <w:rPr>
          <w:rFonts w:hint="eastAsia" w:ascii="仿宋" w:hAnsi="仿宋" w:eastAsia="仿宋" w:cs="仿宋"/>
        </w:rPr>
        <w:br w:type="page"/>
      </w:r>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bCs/>
          <w:color w:val="000000"/>
          <w:kern w:val="0"/>
          <w:sz w:val="32"/>
          <w:szCs w:val="32"/>
        </w:rPr>
        <w:t>一、</w:t>
      </w:r>
      <w:r>
        <w:rPr>
          <w:rFonts w:hint="eastAsia" w:ascii="仿宋" w:hAnsi="仿宋" w:eastAsia="仿宋" w:cs="仿宋"/>
          <w:sz w:val="32"/>
          <w:szCs w:val="32"/>
        </w:rPr>
        <w:t>招标项目内容</w:t>
      </w:r>
    </w:p>
    <w:tbl>
      <w:tblPr>
        <w:tblStyle w:val="57"/>
        <w:tblW w:w="111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0"/>
        <w:gridCol w:w="2504"/>
        <w:gridCol w:w="1976"/>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4700" w:type="dxa"/>
            <w:vAlign w:val="center"/>
          </w:tcPr>
          <w:p>
            <w:pPr>
              <w:pStyle w:val="3"/>
              <w:spacing w:line="594" w:lineRule="exact"/>
              <w:ind w:left="0"/>
              <w:jc w:val="center"/>
              <w:outlineLvl w:val="0"/>
              <w:rPr>
                <w:rFonts w:ascii="仿宋" w:hAnsi="仿宋" w:eastAsia="仿宋" w:cs="仿宋"/>
                <w:b/>
                <w:sz w:val="32"/>
                <w:szCs w:val="32"/>
              </w:rPr>
            </w:pPr>
            <w:r>
              <w:rPr>
                <w:rFonts w:hint="eastAsia" w:ascii="仿宋" w:hAnsi="仿宋" w:eastAsia="仿宋" w:cs="仿宋"/>
                <w:b/>
                <w:sz w:val="32"/>
                <w:szCs w:val="32"/>
              </w:rPr>
              <w:t>项目名称</w:t>
            </w:r>
          </w:p>
        </w:tc>
        <w:tc>
          <w:tcPr>
            <w:tcW w:w="2504" w:type="dxa"/>
            <w:vAlign w:val="center"/>
          </w:tcPr>
          <w:p>
            <w:pPr>
              <w:pStyle w:val="3"/>
              <w:spacing w:line="440" w:lineRule="exact"/>
              <w:ind w:left="0"/>
              <w:jc w:val="center"/>
              <w:outlineLvl w:val="0"/>
              <w:rPr>
                <w:rFonts w:ascii="仿宋" w:hAnsi="仿宋" w:eastAsia="仿宋" w:cs="仿宋"/>
                <w:b/>
                <w:sz w:val="32"/>
                <w:szCs w:val="32"/>
              </w:rPr>
            </w:pPr>
            <w:r>
              <w:rPr>
                <w:rFonts w:hint="eastAsia" w:ascii="仿宋" w:hAnsi="仿宋" w:eastAsia="仿宋" w:cs="仿宋"/>
                <w:b/>
                <w:sz w:val="32"/>
                <w:szCs w:val="32"/>
              </w:rPr>
              <w:t>最高限价</w:t>
            </w:r>
            <w:r>
              <w:rPr>
                <w:rFonts w:hint="eastAsia" w:ascii="仿宋" w:hAnsi="仿宋" w:eastAsia="仿宋" w:cs="仿宋"/>
                <w:b/>
                <w:sz w:val="32"/>
                <w:szCs w:val="32"/>
              </w:rPr>
              <w:br w:type="textWrapping"/>
            </w:r>
            <w:r>
              <w:rPr>
                <w:rFonts w:hint="eastAsia" w:ascii="仿宋" w:hAnsi="仿宋" w:eastAsia="仿宋" w:cs="仿宋"/>
                <w:b/>
                <w:sz w:val="32"/>
                <w:szCs w:val="32"/>
              </w:rPr>
              <w:t>（万元）</w:t>
            </w:r>
          </w:p>
        </w:tc>
        <w:tc>
          <w:tcPr>
            <w:tcW w:w="1976" w:type="dxa"/>
            <w:vAlign w:val="center"/>
          </w:tcPr>
          <w:p>
            <w:pPr>
              <w:pStyle w:val="3"/>
              <w:spacing w:line="440" w:lineRule="exact"/>
              <w:ind w:left="0"/>
              <w:jc w:val="center"/>
              <w:outlineLvl w:val="0"/>
              <w:rPr>
                <w:rFonts w:ascii="仿宋" w:hAnsi="仿宋" w:eastAsia="仿宋" w:cs="仿宋"/>
                <w:b/>
                <w:sz w:val="32"/>
                <w:szCs w:val="32"/>
              </w:rPr>
            </w:pPr>
            <w:r>
              <w:rPr>
                <w:rFonts w:hint="eastAsia" w:ascii="仿宋" w:hAnsi="仿宋" w:eastAsia="仿宋" w:cs="仿宋"/>
                <w:b/>
                <w:sz w:val="32"/>
                <w:szCs w:val="32"/>
              </w:rPr>
              <w:t>投标保证金（万元）</w:t>
            </w:r>
          </w:p>
        </w:tc>
        <w:tc>
          <w:tcPr>
            <w:tcW w:w="1976" w:type="dxa"/>
            <w:vAlign w:val="center"/>
          </w:tcPr>
          <w:p>
            <w:pPr>
              <w:pStyle w:val="3"/>
              <w:spacing w:line="440" w:lineRule="exact"/>
              <w:ind w:left="0"/>
              <w:jc w:val="center"/>
              <w:outlineLvl w:val="0"/>
              <w:rPr>
                <w:rFonts w:ascii="仿宋" w:hAnsi="仿宋" w:eastAsia="仿宋" w:cs="仿宋"/>
                <w:b/>
                <w:sz w:val="32"/>
                <w:szCs w:val="32"/>
              </w:rPr>
            </w:pPr>
            <w:r>
              <w:rPr>
                <w:rFonts w:hint="eastAsia" w:ascii="仿宋" w:hAnsi="仿宋" w:eastAsia="仿宋" w:cs="仿宋"/>
                <w:b/>
                <w:sz w:val="32"/>
                <w:szCs w:val="32"/>
              </w:rPr>
              <w:t>中标人数量</w:t>
            </w:r>
          </w:p>
          <w:p>
            <w:pPr>
              <w:pStyle w:val="3"/>
              <w:spacing w:line="440" w:lineRule="exact"/>
              <w:ind w:left="0"/>
              <w:jc w:val="center"/>
              <w:outlineLvl w:val="0"/>
              <w:rPr>
                <w:rFonts w:ascii="仿宋" w:hAnsi="仿宋" w:eastAsia="仿宋" w:cs="仿宋"/>
                <w:b/>
                <w:sz w:val="32"/>
                <w:szCs w:val="32"/>
              </w:rPr>
            </w:pPr>
            <w:r>
              <w:rPr>
                <w:rFonts w:hint="eastAsia" w:ascii="仿宋" w:hAnsi="仿宋" w:eastAsia="仿宋" w:cs="仿宋"/>
                <w:b/>
                <w:sz w:val="32"/>
                <w:szCs w:val="32"/>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4700" w:type="dxa"/>
            <w:vAlign w:val="center"/>
          </w:tcPr>
          <w:p>
            <w:pPr>
              <w:pStyle w:val="17"/>
              <w:spacing w:line="594" w:lineRule="exact"/>
              <w:ind w:firstLine="0"/>
              <w:jc w:val="center"/>
              <w:outlineLvl w:val="0"/>
              <w:rPr>
                <w:rFonts w:ascii="仿宋" w:hAnsi="仿宋" w:eastAsia="仿宋" w:cs="仿宋"/>
                <w:bCs/>
                <w:color w:val="FF0000"/>
                <w:sz w:val="32"/>
                <w:szCs w:val="32"/>
              </w:rPr>
            </w:pPr>
            <w:r>
              <w:rPr>
                <w:rFonts w:hint="eastAsia" w:ascii="仿宋" w:hAnsi="仿宋" w:eastAsia="仿宋" w:cs="仿宋"/>
                <w:bCs/>
                <w:color w:val="333333"/>
                <w:kern w:val="0"/>
                <w:sz w:val="30"/>
                <w:szCs w:val="30"/>
              </w:rPr>
              <w:t>A栋负一层会议室、阅片室、骨密度室及4层DR室、骨密度室装修改造工程</w:t>
            </w:r>
          </w:p>
        </w:tc>
        <w:tc>
          <w:tcPr>
            <w:tcW w:w="2504" w:type="dxa"/>
            <w:vAlign w:val="center"/>
          </w:tcPr>
          <w:p>
            <w:pPr>
              <w:pStyle w:val="3"/>
              <w:spacing w:line="594" w:lineRule="exact"/>
              <w:ind w:left="0"/>
              <w:jc w:val="center"/>
              <w:outlineLvl w:val="0"/>
              <w:rPr>
                <w:rFonts w:ascii="仿宋" w:hAnsi="仿宋" w:eastAsia="仿宋" w:cs="仿宋"/>
                <w:bCs/>
                <w:color w:val="FF0000"/>
                <w:sz w:val="32"/>
                <w:szCs w:val="32"/>
              </w:rPr>
            </w:pPr>
            <w:r>
              <w:rPr>
                <w:rFonts w:hint="eastAsia" w:ascii="仿宋" w:hAnsi="仿宋" w:eastAsia="仿宋" w:cs="仿宋"/>
                <w:bCs/>
                <w:color w:val="000000" w:themeColor="text1"/>
                <w:sz w:val="32"/>
                <w:szCs w:val="32"/>
                <w14:textFill>
                  <w14:solidFill>
                    <w14:schemeClr w14:val="tx1"/>
                  </w14:solidFill>
                </w14:textFill>
              </w:rPr>
              <w:t>19.4</w:t>
            </w:r>
          </w:p>
        </w:tc>
        <w:tc>
          <w:tcPr>
            <w:tcW w:w="1976" w:type="dxa"/>
            <w:vAlign w:val="center"/>
          </w:tcPr>
          <w:p>
            <w:pPr>
              <w:pStyle w:val="17"/>
              <w:spacing w:line="594" w:lineRule="exact"/>
              <w:ind w:firstLine="0"/>
              <w:jc w:val="center"/>
              <w:outlineLvl w:val="0"/>
              <w:rPr>
                <w:rFonts w:ascii="仿宋" w:hAnsi="仿宋" w:eastAsia="仿宋" w:cs="仿宋"/>
                <w:bCs/>
                <w:color w:val="FF0000"/>
                <w:sz w:val="32"/>
                <w:szCs w:val="32"/>
              </w:rPr>
            </w:pPr>
            <w:r>
              <w:rPr>
                <w:rFonts w:hint="eastAsia" w:ascii="仿宋" w:hAnsi="仿宋" w:eastAsia="仿宋" w:cs="仿宋"/>
                <w:bCs/>
                <w:color w:val="000000" w:themeColor="text1"/>
                <w:sz w:val="32"/>
                <w:szCs w:val="32"/>
                <w14:textFill>
                  <w14:solidFill>
                    <w14:schemeClr w14:val="tx1"/>
                  </w14:solidFill>
                </w14:textFill>
              </w:rPr>
              <w:t>0.4</w:t>
            </w:r>
          </w:p>
        </w:tc>
        <w:tc>
          <w:tcPr>
            <w:tcW w:w="1976" w:type="dxa"/>
            <w:vAlign w:val="center"/>
          </w:tcPr>
          <w:p>
            <w:pPr>
              <w:pStyle w:val="17"/>
              <w:spacing w:line="594" w:lineRule="exact"/>
              <w:ind w:firstLine="0"/>
              <w:jc w:val="center"/>
              <w:outlineLvl w:val="0"/>
              <w:rPr>
                <w:rFonts w:ascii="仿宋" w:hAnsi="仿宋" w:eastAsia="仿宋" w:cs="仿宋"/>
                <w:bCs/>
                <w:color w:val="000000" w:themeColor="text1"/>
                <w:sz w:val="32"/>
                <w:szCs w:val="32"/>
                <w14:textFill>
                  <w14:solidFill>
                    <w14:schemeClr w14:val="tx1"/>
                  </w14:solidFill>
                </w14:textFill>
              </w:rPr>
            </w:pPr>
            <w:r>
              <w:rPr>
                <w:rFonts w:ascii="仿宋" w:hAnsi="仿宋" w:eastAsia="仿宋" w:cs="仿宋"/>
                <w:b/>
                <w:sz w:val="32"/>
                <w:szCs w:val="32"/>
              </w:rPr>
              <w:t>1</w:t>
            </w:r>
          </w:p>
        </w:tc>
      </w:tr>
    </w:tbl>
    <w:p>
      <w:pPr>
        <w:widowControl/>
        <w:spacing w:line="594" w:lineRule="exact"/>
        <w:ind w:firstLine="640" w:firstLineChars="200"/>
        <w:jc w:val="left"/>
        <w:rPr>
          <w:rFonts w:ascii="仿宋" w:hAnsi="仿宋" w:eastAsia="仿宋" w:cs="仿宋"/>
          <w:bCs/>
          <w:color w:val="000000"/>
          <w:kern w:val="0"/>
          <w:sz w:val="32"/>
          <w:szCs w:val="32"/>
        </w:rPr>
      </w:pPr>
      <w:bookmarkStart w:id="9" w:name="_Toc27028"/>
      <w:bookmarkStart w:id="10" w:name="_Toc106034622"/>
      <w:bookmarkStart w:id="11" w:name="_Toc3256"/>
      <w:bookmarkStart w:id="12" w:name="_Toc65660331"/>
      <w:r>
        <w:rPr>
          <w:rFonts w:hint="eastAsia" w:ascii="仿宋" w:hAnsi="仿宋" w:eastAsia="仿宋" w:cs="仿宋"/>
          <w:bCs/>
          <w:color w:val="000000"/>
          <w:kern w:val="0"/>
          <w:sz w:val="32"/>
          <w:szCs w:val="32"/>
        </w:rPr>
        <w:t>二、资金来源</w:t>
      </w:r>
      <w:bookmarkEnd w:id="9"/>
      <w:bookmarkEnd w:id="10"/>
      <w:bookmarkEnd w:id="11"/>
      <w:bookmarkEnd w:id="12"/>
    </w:p>
    <w:p>
      <w:pPr>
        <w:pStyle w:val="6"/>
        <w:spacing w:before="0" w:after="0" w:line="594" w:lineRule="exact"/>
        <w:ind w:firstLine="640" w:firstLineChars="200"/>
        <w:jc w:val="left"/>
        <w:rPr>
          <w:rFonts w:ascii="仿宋" w:hAnsi="仿宋" w:eastAsia="仿宋" w:cs="仿宋"/>
          <w:b w:val="0"/>
          <w:color w:val="000000"/>
          <w:kern w:val="0"/>
          <w:szCs w:val="32"/>
        </w:rPr>
      </w:pPr>
      <w:r>
        <w:rPr>
          <w:rFonts w:hint="eastAsia" w:ascii="仿宋" w:hAnsi="仿宋" w:eastAsia="仿宋" w:cs="仿宋"/>
          <w:b w:val="0"/>
          <w:color w:val="000000"/>
          <w:kern w:val="0"/>
          <w:szCs w:val="32"/>
        </w:rPr>
        <w:t>单位自筹资金，采购预算金额为19.4</w:t>
      </w:r>
      <w:r>
        <w:rPr>
          <w:rFonts w:hint="eastAsia" w:ascii="仿宋" w:hAnsi="仿宋" w:eastAsia="仿宋" w:cs="仿宋"/>
          <w:b w:val="0"/>
          <w:color w:val="000000" w:themeColor="text1"/>
          <w:kern w:val="0"/>
          <w:szCs w:val="32"/>
          <w14:textFill>
            <w14:solidFill>
              <w14:schemeClr w14:val="tx1"/>
            </w14:solidFill>
          </w14:textFill>
        </w:rPr>
        <w:t>万元</w:t>
      </w:r>
      <w:r>
        <w:rPr>
          <w:rFonts w:hint="eastAsia" w:ascii="仿宋" w:hAnsi="仿宋" w:eastAsia="仿宋" w:cs="仿宋"/>
          <w:b w:val="0"/>
          <w:color w:val="000000"/>
          <w:kern w:val="0"/>
          <w:szCs w:val="32"/>
        </w:rPr>
        <w:t>。</w:t>
      </w:r>
    </w:p>
    <w:p>
      <w:pPr>
        <w:widowControl/>
        <w:spacing w:line="594" w:lineRule="exact"/>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三、供应商资格条件</w:t>
      </w:r>
    </w:p>
    <w:p>
      <w:pPr>
        <w:pStyle w:val="24"/>
        <w:keepLines/>
        <w:spacing w:line="594" w:lineRule="exact"/>
        <w:ind w:firstLine="640" w:firstLineChars="200"/>
        <w:jc w:val="left"/>
        <w:rPr>
          <w:rFonts w:ascii="仿宋" w:hAnsi="仿宋" w:eastAsia="仿宋" w:cs="仿宋"/>
          <w:szCs w:val="32"/>
        </w:rPr>
      </w:pPr>
      <w:r>
        <w:rPr>
          <w:rFonts w:hint="eastAsia" w:ascii="仿宋" w:hAnsi="仿宋" w:eastAsia="仿宋" w:cs="仿宋"/>
          <w:szCs w:val="32"/>
        </w:rPr>
        <w:t>（一）满足《中华人民共和国政府采购法》第二十二条规定：</w:t>
      </w:r>
    </w:p>
    <w:p>
      <w:pPr>
        <w:pStyle w:val="24"/>
        <w:keepLines/>
        <w:spacing w:line="594" w:lineRule="exact"/>
        <w:ind w:firstLine="640" w:firstLineChars="200"/>
        <w:jc w:val="left"/>
        <w:rPr>
          <w:rFonts w:ascii="仿宋" w:hAnsi="仿宋" w:eastAsia="仿宋" w:cs="仿宋"/>
          <w:szCs w:val="32"/>
        </w:rPr>
      </w:pPr>
      <w:r>
        <w:rPr>
          <w:rFonts w:hint="eastAsia" w:ascii="仿宋" w:hAnsi="仿宋" w:eastAsia="仿宋" w:cs="仿宋"/>
          <w:szCs w:val="32"/>
        </w:rPr>
        <w:t>1、具有独立承担民事责任的能力；</w:t>
      </w:r>
    </w:p>
    <w:p>
      <w:pPr>
        <w:pStyle w:val="24"/>
        <w:keepLines/>
        <w:spacing w:line="594" w:lineRule="exact"/>
        <w:ind w:firstLine="640" w:firstLineChars="200"/>
        <w:jc w:val="left"/>
        <w:rPr>
          <w:rFonts w:ascii="仿宋" w:hAnsi="仿宋" w:eastAsia="仿宋" w:cs="仿宋"/>
          <w:szCs w:val="32"/>
        </w:rPr>
      </w:pPr>
      <w:r>
        <w:rPr>
          <w:rFonts w:hint="eastAsia" w:ascii="仿宋" w:hAnsi="仿宋" w:eastAsia="仿宋" w:cs="仿宋"/>
          <w:szCs w:val="32"/>
        </w:rPr>
        <w:t>2、具有良好的商业信誉和健全的财务会计制度；</w:t>
      </w:r>
    </w:p>
    <w:p>
      <w:pPr>
        <w:pStyle w:val="24"/>
        <w:keepLines/>
        <w:spacing w:line="594" w:lineRule="exact"/>
        <w:ind w:firstLine="640" w:firstLineChars="200"/>
        <w:jc w:val="left"/>
        <w:rPr>
          <w:rFonts w:ascii="仿宋" w:hAnsi="仿宋" w:eastAsia="仿宋" w:cs="仿宋"/>
          <w:szCs w:val="32"/>
        </w:rPr>
      </w:pPr>
      <w:r>
        <w:rPr>
          <w:rFonts w:hint="eastAsia" w:ascii="仿宋" w:hAnsi="仿宋" w:eastAsia="仿宋" w:cs="仿宋"/>
          <w:szCs w:val="32"/>
        </w:rPr>
        <w:t>3、具有履行合同所必需的设备和专业技术能力；</w:t>
      </w:r>
    </w:p>
    <w:p>
      <w:pPr>
        <w:pStyle w:val="24"/>
        <w:keepLines/>
        <w:spacing w:line="594" w:lineRule="exact"/>
        <w:ind w:firstLine="640" w:firstLineChars="200"/>
        <w:jc w:val="left"/>
        <w:rPr>
          <w:rFonts w:ascii="仿宋" w:hAnsi="仿宋" w:eastAsia="仿宋" w:cs="仿宋"/>
          <w:szCs w:val="32"/>
        </w:rPr>
      </w:pPr>
      <w:r>
        <w:rPr>
          <w:rFonts w:hint="eastAsia" w:ascii="仿宋" w:hAnsi="仿宋" w:eastAsia="仿宋" w:cs="仿宋"/>
          <w:szCs w:val="32"/>
        </w:rPr>
        <w:t>4、有依法缴纳税收和社会保障资金的良好记录；</w:t>
      </w:r>
    </w:p>
    <w:p>
      <w:pPr>
        <w:pStyle w:val="24"/>
        <w:keepLines/>
        <w:spacing w:line="594" w:lineRule="exact"/>
        <w:ind w:firstLine="640" w:firstLineChars="200"/>
        <w:jc w:val="left"/>
        <w:rPr>
          <w:rFonts w:ascii="仿宋" w:hAnsi="仿宋" w:eastAsia="仿宋" w:cs="仿宋"/>
          <w:szCs w:val="32"/>
        </w:rPr>
      </w:pPr>
      <w:r>
        <w:rPr>
          <w:rFonts w:hint="eastAsia" w:ascii="仿宋" w:hAnsi="仿宋" w:eastAsia="仿宋" w:cs="仿宋"/>
          <w:szCs w:val="32"/>
        </w:rPr>
        <w:t>5、参加政府采购活动前三年内，在经营活动中没有重大违法记录；</w:t>
      </w:r>
    </w:p>
    <w:p>
      <w:pPr>
        <w:pStyle w:val="24"/>
        <w:keepLines/>
        <w:spacing w:line="594" w:lineRule="exact"/>
        <w:ind w:firstLine="640" w:firstLineChars="200"/>
        <w:jc w:val="left"/>
        <w:rPr>
          <w:rFonts w:ascii="仿宋" w:hAnsi="仿宋" w:eastAsia="仿宋" w:cs="仿宋"/>
          <w:szCs w:val="32"/>
        </w:rPr>
      </w:pPr>
      <w:r>
        <w:rPr>
          <w:rFonts w:hint="eastAsia" w:ascii="仿宋" w:hAnsi="仿宋" w:eastAsia="仿宋" w:cs="仿宋"/>
          <w:szCs w:val="32"/>
        </w:rPr>
        <w:t>6、法律、行政法规规定的其他条件。</w:t>
      </w:r>
    </w:p>
    <w:p>
      <w:pPr>
        <w:pStyle w:val="24"/>
        <w:keepLines/>
        <w:spacing w:line="594" w:lineRule="exact"/>
        <w:ind w:firstLine="640" w:firstLineChars="200"/>
        <w:jc w:val="left"/>
        <w:rPr>
          <w:rFonts w:ascii="仿宋" w:hAnsi="仿宋" w:eastAsia="仿宋" w:cs="仿宋"/>
          <w:szCs w:val="32"/>
        </w:rPr>
      </w:pPr>
      <w:r>
        <w:rPr>
          <w:rFonts w:hint="eastAsia" w:ascii="仿宋" w:hAnsi="仿宋" w:eastAsia="仿宋" w:cs="仿宋"/>
          <w:szCs w:val="32"/>
        </w:rPr>
        <w:t>（二）特定资格条件</w:t>
      </w:r>
    </w:p>
    <w:p>
      <w:pPr>
        <w:pStyle w:val="24"/>
        <w:keepLines/>
        <w:spacing w:line="594" w:lineRule="exact"/>
        <w:ind w:firstLine="640" w:firstLineChars="200"/>
        <w:jc w:val="left"/>
        <w:rPr>
          <w:rFonts w:ascii="仿宋" w:hAnsi="仿宋" w:eastAsia="仿宋" w:cs="仿宋"/>
          <w:color w:val="FF0000"/>
          <w:szCs w:val="32"/>
        </w:rPr>
      </w:pPr>
      <w:r>
        <w:rPr>
          <w:rFonts w:hint="eastAsia" w:ascii="仿宋" w:hAnsi="仿宋" w:eastAsia="仿宋" w:cs="仿宋"/>
          <w:color w:val="000000" w:themeColor="text1"/>
          <w:szCs w:val="32"/>
          <w14:textFill>
            <w14:solidFill>
              <w14:schemeClr w14:val="tx1"/>
            </w14:solidFill>
          </w14:textFill>
        </w:rPr>
        <w:t>投标人应具有建筑装修装饰工程专业承包二级及以上资质或总承包三级及以上资质。</w:t>
      </w:r>
    </w:p>
    <w:p>
      <w:pPr>
        <w:widowControl/>
        <w:spacing w:line="594" w:lineRule="exact"/>
        <w:ind w:firstLine="640" w:firstLineChars="200"/>
        <w:jc w:val="left"/>
        <w:rPr>
          <w:rFonts w:ascii="仿宋" w:hAnsi="仿宋" w:eastAsia="仿宋" w:cs="仿宋"/>
          <w:bCs/>
          <w:color w:val="000000"/>
          <w:kern w:val="0"/>
          <w:sz w:val="32"/>
          <w:szCs w:val="32"/>
        </w:rPr>
      </w:pPr>
      <w:bookmarkStart w:id="13" w:name="_Toc21560"/>
      <w:bookmarkStart w:id="14" w:name="_Toc109810330"/>
      <w:r>
        <w:rPr>
          <w:rFonts w:hint="eastAsia" w:ascii="仿宋" w:hAnsi="仿宋" w:eastAsia="仿宋" w:cs="仿宋"/>
          <w:bCs/>
          <w:color w:val="000000"/>
          <w:kern w:val="0"/>
          <w:sz w:val="32"/>
          <w:szCs w:val="32"/>
        </w:rPr>
        <w:t>四、投标、开标有关说明</w:t>
      </w:r>
      <w:bookmarkEnd w:id="13"/>
      <w:bookmarkEnd w:id="14"/>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（一）凡有意参加投标的投标人，请在重庆市中医骨科医院官网下载本项目招标文件以及图纸、澄清等开标前公布的所有项目资料，无论投标人领取或下载与否，均视为已知晓所有招标内容。</w:t>
      </w:r>
    </w:p>
    <w:p>
      <w:pPr>
        <w:spacing w:line="594" w:lineRule="exact"/>
        <w:ind w:firstLine="640" w:firstLineChars="200"/>
        <w:jc w:val="left"/>
        <w:rPr>
          <w:rFonts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（二）招标文件公告期限：</w:t>
      </w:r>
      <w:r>
        <w:rPr>
          <w:rFonts w:hint="eastAsia" w:ascii="仿宋" w:hAnsi="仿宋" w:eastAsia="仿宋" w:cs="仿宋"/>
          <w:sz w:val="32"/>
          <w:szCs w:val="32"/>
        </w:rPr>
        <w:t>2024年1月</w:t>
      </w:r>
      <w:r>
        <w:rPr>
          <w:rFonts w:hint="eastAsia" w:ascii="仿宋" w:hAnsi="仿宋" w:eastAsia="仿宋" w:cs="仿宋"/>
          <w:sz w:val="32"/>
          <w:szCs w:val="32"/>
          <w:lang w:val="en-US" w:eastAsia="zh-CN"/>
        </w:rPr>
        <w:t>8</w:t>
      </w:r>
      <w:r>
        <w:rPr>
          <w:rFonts w:hint="eastAsia" w:ascii="仿宋" w:hAnsi="仿宋" w:eastAsia="仿宋" w:cs="仿宋"/>
          <w:sz w:val="32"/>
          <w:szCs w:val="32"/>
        </w:rPr>
        <w:t>日1</w:t>
      </w:r>
      <w:r>
        <w:rPr>
          <w:rFonts w:hint="eastAsia" w:ascii="仿宋" w:hAnsi="仿宋" w:eastAsia="仿宋" w:cs="仿宋"/>
          <w:sz w:val="32"/>
          <w:szCs w:val="32"/>
          <w:lang w:val="en-US" w:eastAsia="zh-CN"/>
        </w:rPr>
        <w:t>2</w:t>
      </w:r>
      <w:r>
        <w:rPr>
          <w:rFonts w:hint="eastAsia" w:ascii="仿宋" w:hAnsi="仿宋" w:eastAsia="仿宋" w:cs="仿宋"/>
          <w:sz w:val="32"/>
          <w:szCs w:val="32"/>
        </w:rPr>
        <w:t>:00-2024年1月</w:t>
      </w:r>
      <w:r>
        <w:rPr>
          <w:rFonts w:hint="eastAsia" w:ascii="仿宋" w:hAnsi="仿宋" w:eastAsia="仿宋" w:cs="仿宋"/>
          <w:sz w:val="32"/>
          <w:szCs w:val="32"/>
          <w:lang w:val="en-US" w:eastAsia="zh-CN"/>
        </w:rPr>
        <w:t>11</w:t>
      </w:r>
      <w:r>
        <w:rPr>
          <w:rFonts w:hint="eastAsia" w:ascii="仿宋" w:hAnsi="仿宋" w:eastAsia="仿宋" w:cs="仿宋"/>
          <w:sz w:val="32"/>
          <w:szCs w:val="32"/>
        </w:rPr>
        <w:t>日12:00</w:t>
      </w:r>
      <w:r>
        <w:rPr>
          <w:rFonts w:hint="eastAsia" w:ascii="仿宋" w:hAnsi="仿宋" w:eastAsia="仿宋" w:cs="仿宋"/>
          <w:color w:val="FF0000"/>
          <w:sz w:val="32"/>
          <w:szCs w:val="32"/>
        </w:rPr>
        <w:t xml:space="preserve"> </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（三）供应商须满足以下两种要件，其投标才被接受：</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1、按时递交了投标文件并缴纳投标保证金；</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2、按时报名签到；</w:t>
      </w:r>
    </w:p>
    <w:p>
      <w:pPr>
        <w:pStyle w:val="2"/>
        <w:ind w:left="0" w:leftChars="0" w:firstLine="645" w:firstLineChars="0"/>
        <w:rPr>
          <w:rFonts w:hint="eastAsia" w:ascii="仿宋" w:hAnsi="仿宋" w:eastAsia="仿宋" w:cs="仿宋"/>
          <w:sz w:val="32"/>
          <w:szCs w:val="32"/>
        </w:rPr>
      </w:pPr>
      <w:r>
        <w:rPr>
          <w:rFonts w:hint="eastAsia" w:ascii="仿宋" w:hAnsi="仿宋" w:eastAsia="仿宋" w:cs="仿宋"/>
          <w:sz w:val="32"/>
          <w:szCs w:val="32"/>
        </w:rPr>
        <w:t>（四）投标文件要求</w:t>
      </w:r>
    </w:p>
    <w:p>
      <w:pPr>
        <w:pStyle w:val="2"/>
        <w:ind w:left="0" w:leftChars="0" w:firstLine="645" w:firstLineChars="0"/>
        <w:rPr>
          <w:rFonts w:ascii="仿宋" w:hAnsi="仿宋" w:eastAsia="仿宋" w:cs="仿宋"/>
          <w:sz w:val="32"/>
          <w:szCs w:val="32"/>
        </w:rPr>
      </w:pPr>
      <w:r>
        <w:rPr>
          <w:rFonts w:hint="eastAsia" w:ascii="仿宋" w:hAnsi="仿宋" w:eastAsia="仿宋" w:cs="仿宋"/>
          <w:sz w:val="32"/>
          <w:szCs w:val="32"/>
        </w:rPr>
        <w:t>1、投标文件必须密封并在外包装上加盖公章</w:t>
      </w:r>
    </w:p>
    <w:p>
      <w:pPr>
        <w:pStyle w:val="2"/>
        <w:spacing w:after="0" w:line="594" w:lineRule="exact"/>
        <w:ind w:left="0" w:leftChars="0" w:firstLine="640"/>
        <w:jc w:val="left"/>
        <w:rPr>
          <w:rFonts w:ascii="仿宋" w:hAnsi="仿宋" w:eastAsia="仿宋" w:cs="仿宋"/>
          <w:sz w:val="32"/>
          <w:szCs w:val="32"/>
        </w:rPr>
      </w:pPr>
      <w:r>
        <w:rPr>
          <w:rFonts w:hint="eastAsia" w:ascii="仿宋" w:hAnsi="仿宋" w:eastAsia="仿宋" w:cs="仿宋"/>
          <w:sz w:val="32"/>
          <w:szCs w:val="32"/>
        </w:rPr>
        <w:t>2、投标文件构成</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（1）投标一览表；</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（2）法定代表人身份证明书；</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（3）法定代表人授权委托书；</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（4）诚信声明；</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（5）营业执照（复印件，盖鲜章）；</w:t>
      </w:r>
    </w:p>
    <w:p>
      <w:pPr>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（6）技术方案及其他资料</w:t>
      </w:r>
    </w:p>
    <w:p>
      <w:pPr>
        <w:tabs>
          <w:tab w:val="left" w:pos="0"/>
        </w:tabs>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3、投标文件一式二份，其中正本一份，副本一份。每套投标文件须在封面清楚地标明“正本”、“副本”，副本应为正本的完整复印件，副本与正本不一致时以正本为准。</w:t>
      </w:r>
    </w:p>
    <w:p>
      <w:pPr>
        <w:spacing w:line="594" w:lineRule="exact"/>
        <w:ind w:firstLine="640" w:firstLineChars="200"/>
        <w:jc w:val="left"/>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sz w:val="32"/>
          <w:szCs w:val="32"/>
        </w:rPr>
        <w:t>（五）投标地点：渝中区富华路19号，重庆市中医骨科医院化龙桥院区B栋102。</w:t>
      </w:r>
    </w:p>
    <w:p>
      <w:pPr>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（六</w:t>
      </w:r>
      <w:r>
        <w:rPr>
          <w:rFonts w:hint="eastAsia" w:ascii="仿宋" w:hAnsi="仿宋" w:eastAsia="仿宋" w:cs="仿宋"/>
          <w:color w:val="000000" w:themeColor="text1"/>
          <w:sz w:val="32"/>
          <w:szCs w:val="32"/>
          <w14:textFill>
            <w14:solidFill>
              <w14:schemeClr w14:val="tx1"/>
            </w14:solidFill>
          </w14:textFill>
        </w:rPr>
        <w:t>）投标截止时间：2024年1月</w:t>
      </w:r>
      <w:r>
        <w:rPr>
          <w:rFonts w:hint="eastAsia" w:ascii="仿宋" w:hAnsi="仿宋" w:eastAsia="仿宋" w:cs="仿宋"/>
          <w:color w:val="000000" w:themeColor="text1"/>
          <w:sz w:val="32"/>
          <w:szCs w:val="32"/>
          <w:lang w:val="en-US" w:eastAsia="zh-CN"/>
          <w14:textFill>
            <w14:solidFill>
              <w14:schemeClr w14:val="tx1"/>
            </w14:solidFill>
          </w14:textFill>
        </w:rPr>
        <w:t>11</w:t>
      </w:r>
      <w:bookmarkStart w:id="44" w:name="_GoBack"/>
      <w:bookmarkEnd w:id="44"/>
      <w:r>
        <w:rPr>
          <w:rFonts w:hint="eastAsia" w:ascii="仿宋" w:hAnsi="仿宋" w:eastAsia="仿宋" w:cs="仿宋"/>
          <w:color w:val="000000" w:themeColor="text1"/>
          <w:sz w:val="32"/>
          <w:szCs w:val="32"/>
          <w14:textFill>
            <w14:solidFill>
              <w14:schemeClr w14:val="tx1"/>
            </w14:solidFill>
          </w14:textFill>
        </w:rPr>
        <w:t>日北京时间12:00。</w:t>
      </w:r>
    </w:p>
    <w:p>
      <w:pPr>
        <w:spacing w:line="594" w:lineRule="exact"/>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（七）投标截止后，我院将组织院内评标，并将比选结果公示在医院官网，对未中标单位不另行告知。</w:t>
      </w:r>
    </w:p>
    <w:p>
      <w:pPr>
        <w:widowControl/>
        <w:spacing w:line="594" w:lineRule="exact"/>
        <w:ind w:firstLine="640" w:firstLineChars="200"/>
        <w:jc w:val="left"/>
        <w:rPr>
          <w:rFonts w:ascii="仿宋" w:hAnsi="仿宋" w:eastAsia="仿宋" w:cs="仿宋"/>
          <w:bCs/>
          <w:color w:val="000000"/>
          <w:kern w:val="0"/>
          <w:sz w:val="32"/>
          <w:szCs w:val="32"/>
        </w:rPr>
      </w:pPr>
      <w:bookmarkStart w:id="15" w:name="_Toc1856"/>
      <w:bookmarkStart w:id="16" w:name="_Toc76649974"/>
      <w:bookmarkStart w:id="17" w:name="_Toc109810333"/>
      <w:bookmarkStart w:id="18" w:name="_Toc516236271"/>
      <w:bookmarkStart w:id="19" w:name="_Toc493506283"/>
      <w:bookmarkStart w:id="20" w:name="_Toc109810332"/>
      <w:bookmarkStart w:id="21" w:name="_Toc516236270"/>
      <w:bookmarkStart w:id="22" w:name="_Toc76649973"/>
      <w:r>
        <w:rPr>
          <w:rFonts w:hint="eastAsia" w:ascii="仿宋" w:hAnsi="仿宋" w:eastAsia="仿宋" w:cs="仿宋"/>
          <w:bCs/>
          <w:color w:val="000000"/>
          <w:kern w:val="0"/>
          <w:sz w:val="32"/>
          <w:szCs w:val="32"/>
        </w:rPr>
        <w:t>五、投标有关规定</w:t>
      </w:r>
      <w:bookmarkEnd w:id="15"/>
      <w:bookmarkEnd w:id="16"/>
      <w:bookmarkEnd w:id="17"/>
      <w:bookmarkEnd w:id="18"/>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（一）单位负责人为同一人或者存在直接控股、管理关系的不同投标人，不得参加同一招标项目。</w:t>
      </w:r>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（二）本项目若有补遗、澄清文件一律在重庆市中医骨科医院官网上发布，请各投标人注意下载；无论投标人下载与否，均视同投标人已知晓本项目补遗、澄清文件的内容。</w:t>
      </w:r>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（三）超过投标截止时间递交的投标文件，恕不接收。</w:t>
      </w:r>
    </w:p>
    <w:p>
      <w:pPr>
        <w:widowControl/>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（四）投标费用：无论投标结果如何，投标人参与本项目投标的所有费用均应由投标人自行承担。</w:t>
      </w:r>
    </w:p>
    <w:p>
      <w:pPr>
        <w:widowControl/>
        <w:spacing w:line="594" w:lineRule="exact"/>
        <w:ind w:firstLine="640" w:firstLineChars="200"/>
        <w:jc w:val="left"/>
        <w:rPr>
          <w:rFonts w:ascii="仿宋" w:hAnsi="仿宋" w:eastAsia="仿宋" w:cs="仿宋"/>
          <w:bCs/>
          <w:sz w:val="32"/>
          <w:szCs w:val="32"/>
        </w:rPr>
      </w:pPr>
      <w:r>
        <w:rPr>
          <w:rFonts w:hint="eastAsia" w:ascii="仿宋" w:hAnsi="仿宋" w:eastAsia="仿宋" w:cs="仿宋"/>
          <w:bCs/>
          <w:sz w:val="32"/>
          <w:szCs w:val="32"/>
        </w:rPr>
        <w:t>（五）本项目不接受联合体参与投标，否则按无效投标处理。</w:t>
      </w:r>
    </w:p>
    <w:p>
      <w:pPr>
        <w:widowControl/>
        <w:spacing w:line="594" w:lineRule="exact"/>
        <w:ind w:firstLine="640" w:firstLineChars="200"/>
        <w:jc w:val="left"/>
        <w:rPr>
          <w:rFonts w:eastAsia="仿宋"/>
          <w:color w:val="FF0000"/>
          <w:sz w:val="32"/>
          <w:szCs w:val="32"/>
        </w:rPr>
      </w:pPr>
      <w:r>
        <w:rPr>
          <w:rFonts w:hint="eastAsia" w:ascii="仿宋" w:hAnsi="仿宋" w:eastAsia="仿宋" w:cs="仿宋"/>
          <w:bCs/>
          <w:sz w:val="32"/>
          <w:szCs w:val="32"/>
        </w:rPr>
        <w:t>（六）本项目不接受合同分包，否则按无效投标处理。</w:t>
      </w:r>
    </w:p>
    <w:p>
      <w:pPr>
        <w:widowControl/>
        <w:spacing w:line="594" w:lineRule="exact"/>
        <w:ind w:firstLine="640" w:firstLineChars="200"/>
        <w:jc w:val="left"/>
        <w:rPr>
          <w:rFonts w:ascii="仿宋" w:hAnsi="仿宋" w:eastAsia="仿宋" w:cs="仿宋"/>
          <w:bCs/>
          <w:color w:val="000000"/>
          <w:kern w:val="0"/>
          <w:sz w:val="32"/>
          <w:szCs w:val="32"/>
        </w:rPr>
      </w:pPr>
      <w:bookmarkStart w:id="23" w:name="_Toc109810334"/>
      <w:bookmarkStart w:id="24" w:name="_Toc13310"/>
      <w:r>
        <w:rPr>
          <w:rFonts w:hint="eastAsia" w:ascii="仿宋" w:hAnsi="仿宋" w:eastAsia="仿宋" w:cs="仿宋"/>
          <w:bCs/>
          <w:color w:val="000000"/>
          <w:kern w:val="0"/>
          <w:sz w:val="32"/>
          <w:szCs w:val="32"/>
        </w:rPr>
        <w:t>六、联系方式</w:t>
      </w:r>
      <w:bookmarkEnd w:id="23"/>
      <w:bookmarkEnd w:id="24"/>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（一）采购人：重庆市中医骨科医院</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联系人：刘老师</w:t>
      </w:r>
    </w:p>
    <w:p>
      <w:pPr>
        <w:snapToGrid w:val="0"/>
        <w:spacing w:line="594" w:lineRule="exact"/>
        <w:ind w:firstLine="640" w:firstLineChars="200"/>
        <w:jc w:val="left"/>
        <w:rPr>
          <w:rFonts w:ascii="仿宋" w:hAnsi="仿宋" w:eastAsia="仿宋" w:cs="仿宋"/>
          <w:b/>
          <w:color w:val="FF0000"/>
          <w:sz w:val="32"/>
          <w:szCs w:val="32"/>
        </w:rPr>
      </w:pPr>
      <w:r>
        <w:rPr>
          <w:rFonts w:hint="eastAsia" w:ascii="仿宋" w:hAnsi="仿宋" w:eastAsia="仿宋" w:cs="仿宋"/>
          <w:sz w:val="32"/>
          <w:szCs w:val="32"/>
        </w:rPr>
        <w:t>电  话：（023）63930833</w:t>
      </w:r>
    </w:p>
    <w:p>
      <w:pPr>
        <w:snapToGrid w:val="0"/>
        <w:spacing w:line="594" w:lineRule="exact"/>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地  址：</w:t>
      </w:r>
      <w:r>
        <w:rPr>
          <w:rFonts w:hint="eastAsia" w:ascii="仿宋" w:hAnsi="仿宋" w:eastAsia="仿宋" w:cs="仿宋"/>
          <w:color w:val="000000" w:themeColor="text1"/>
          <w:sz w:val="32"/>
          <w:szCs w:val="32"/>
          <w14:textFill>
            <w14:solidFill>
              <w14:schemeClr w14:val="tx1"/>
            </w14:solidFill>
          </w14:textFill>
        </w:rPr>
        <w:t>渝中区富华路19号</w:t>
      </w:r>
    </w:p>
    <w:p>
      <w:pPr>
        <w:snapToGrid w:val="0"/>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（二）质疑联系部门：重庆市中医骨科医院</w:t>
      </w:r>
    </w:p>
    <w:p>
      <w:pPr>
        <w:snapToGrid w:val="0"/>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联系人：王老师</w:t>
      </w:r>
    </w:p>
    <w:p>
      <w:pPr>
        <w:snapToGrid w:val="0"/>
        <w:spacing w:line="594" w:lineRule="exact"/>
        <w:ind w:firstLine="640" w:firstLineChars="200"/>
        <w:jc w:val="left"/>
        <w:rPr>
          <w:rFonts w:ascii="仿宋" w:hAnsi="仿宋" w:eastAsia="仿宋" w:cs="仿宋"/>
          <w:color w:val="FF0000"/>
          <w:sz w:val="32"/>
          <w:szCs w:val="32"/>
        </w:rPr>
      </w:pPr>
      <w:r>
        <w:rPr>
          <w:rFonts w:hint="eastAsia" w:ascii="仿宋" w:hAnsi="仿宋" w:eastAsia="仿宋" w:cs="仿宋"/>
          <w:sz w:val="32"/>
          <w:szCs w:val="32"/>
        </w:rPr>
        <w:t>电  话：（023）63930833</w:t>
      </w:r>
    </w:p>
    <w:p>
      <w:pPr>
        <w:snapToGrid w:val="0"/>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地  址：渝中区富华路19号</w:t>
      </w:r>
    </w:p>
    <w:p>
      <w:pPr>
        <w:widowControl/>
        <w:spacing w:line="594" w:lineRule="exact"/>
        <w:ind w:firstLine="640" w:firstLineChars="200"/>
        <w:jc w:val="left"/>
        <w:rPr>
          <w:rFonts w:ascii="方正黑体_GBK" w:hAnsi="Times New Roman" w:eastAsia="方正黑体_GBK"/>
          <w:bCs/>
          <w:color w:val="000000"/>
          <w:kern w:val="0"/>
          <w:sz w:val="32"/>
          <w:szCs w:val="32"/>
        </w:rPr>
      </w:pPr>
      <w:bookmarkStart w:id="25" w:name="_Toc109810331"/>
      <w:bookmarkStart w:id="26" w:name="_Toc41056795"/>
      <w:bookmarkStart w:id="27" w:name="_Toc5794"/>
      <w:r>
        <w:rPr>
          <w:rFonts w:hint="eastAsia" w:ascii="方正黑体_GBK" w:hAnsi="Times New Roman" w:eastAsia="方正黑体_GBK"/>
          <w:bCs/>
          <w:color w:val="000000"/>
          <w:kern w:val="0"/>
          <w:sz w:val="32"/>
          <w:szCs w:val="32"/>
        </w:rPr>
        <w:t>七</w:t>
      </w:r>
      <w:r>
        <w:rPr>
          <w:rFonts w:ascii="方正黑体_GBK" w:hAnsi="Times New Roman" w:eastAsia="方正黑体_GBK"/>
          <w:bCs/>
          <w:color w:val="000000"/>
          <w:kern w:val="0"/>
          <w:sz w:val="32"/>
          <w:szCs w:val="32"/>
        </w:rPr>
        <w:t>、投标保证金</w:t>
      </w:r>
      <w:bookmarkEnd w:id="25"/>
      <w:bookmarkEnd w:id="26"/>
      <w:bookmarkEnd w:id="27"/>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（一）投标保证金递交</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1、投标人应足额交纳投标保证金（保证金金额详见“一、招标项目内容”），并转账至我院账户，</w:t>
      </w:r>
      <w:r>
        <w:rPr>
          <w:rFonts w:ascii="Times New Roman" w:hAnsi="Times New Roman" w:eastAsia="方正仿宋_GBK"/>
          <w:b/>
          <w:sz w:val="32"/>
          <w:szCs w:val="32"/>
        </w:rPr>
        <w:t>投标保证金的到账截止时间同投标截止时间</w:t>
      </w:r>
      <w:r>
        <w:rPr>
          <w:rFonts w:ascii="Times New Roman" w:hAnsi="Times New Roman" w:eastAsia="方正仿宋_GBK"/>
          <w:sz w:val="32"/>
          <w:szCs w:val="32"/>
        </w:rPr>
        <w:t>。</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投标保证金账户：</w:t>
      </w:r>
    </w:p>
    <w:p>
      <w:pPr>
        <w:pStyle w:val="2"/>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户  名：重庆市中医骨科医院</w:t>
      </w:r>
    </w:p>
    <w:p>
      <w:pPr>
        <w:pStyle w:val="2"/>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开户行：</w:t>
      </w:r>
      <w:r>
        <w:rPr>
          <w:rFonts w:hint="eastAsia" w:ascii="Times New Roman" w:hAnsi="Times New Roman" w:eastAsia="方正仿宋_GBK"/>
          <w:sz w:val="32"/>
          <w:szCs w:val="32"/>
        </w:rPr>
        <w:t>中国</w:t>
      </w:r>
      <w:r>
        <w:rPr>
          <w:rFonts w:ascii="Times New Roman" w:hAnsi="Times New Roman" w:eastAsia="方正仿宋_GBK"/>
          <w:spacing w:val="-2"/>
          <w:sz w:val="32"/>
          <w:szCs w:val="32"/>
        </w:rPr>
        <w:t>工商银行较场口支行</w:t>
      </w:r>
    </w:p>
    <w:p>
      <w:pPr>
        <w:pStyle w:val="2"/>
        <w:spacing w:after="0" w:line="594" w:lineRule="exact"/>
        <w:ind w:left="0" w:leftChars="0" w:firstLine="640"/>
        <w:jc w:val="left"/>
        <w:rPr>
          <w:rFonts w:ascii="Times New Roman" w:hAnsi="Times New Roman" w:eastAsia="方正仿宋_GBK"/>
          <w:sz w:val="32"/>
          <w:szCs w:val="32"/>
        </w:rPr>
      </w:pPr>
      <w:r>
        <w:rPr>
          <w:rFonts w:ascii="Times New Roman" w:hAnsi="Times New Roman" w:eastAsia="方正仿宋_GBK"/>
          <w:sz w:val="32"/>
          <w:szCs w:val="32"/>
        </w:rPr>
        <w:t>账户：</w:t>
      </w:r>
      <w:r>
        <w:rPr>
          <w:rFonts w:ascii="Times New Roman" w:hAnsi="Times New Roman" w:eastAsia="方正仿宋_GBK"/>
          <w:spacing w:val="-2"/>
          <w:sz w:val="32"/>
          <w:szCs w:val="32"/>
        </w:rPr>
        <w:t>3100021509006601453</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2、缴纳投标保证金的单位名称必须与投标单位名称相同，只有按规定交纳投标保证金后，才具备投标资格。</w:t>
      </w:r>
    </w:p>
    <w:p>
      <w:pPr>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3、在招标文件规定的投标保证金截止时间之前，重庆市中医骨科医院账户收到的投标保证金为有效投标保证金。供应商应自行考虑汇入时间风险，如同城汇入、异地汇入、跨行汇入的时间要求。因银行等原因造成的投标保证金入账确认时间延迟，采购人不承担任何责任。</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（二）投标保证金退还</w:t>
      </w:r>
    </w:p>
    <w:p>
      <w:pPr>
        <w:widowControl/>
        <w:spacing w:line="594" w:lineRule="exact"/>
        <w:ind w:firstLine="640" w:firstLineChars="200"/>
        <w:jc w:val="left"/>
        <w:rPr>
          <w:rFonts w:ascii="Times New Roman" w:hAnsi="Times New Roman" w:eastAsia="方正仿宋_GBK"/>
          <w:sz w:val="32"/>
          <w:szCs w:val="32"/>
        </w:rPr>
      </w:pPr>
      <w:r>
        <w:rPr>
          <w:rFonts w:ascii="Times New Roman" w:hAnsi="Times New Roman" w:eastAsia="方正仿宋_GBK"/>
          <w:sz w:val="32"/>
          <w:szCs w:val="32"/>
        </w:rPr>
        <w:t>通过转账方式将投标保证金退还到投标人的来款账户。</w:t>
      </w:r>
    </w:p>
    <w:p>
      <w:pPr>
        <w:widowControl/>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1、</w:t>
      </w:r>
      <w:r>
        <w:rPr>
          <w:rFonts w:hint="eastAsia" w:ascii="Times New Roman" w:hAnsi="Times New Roman" w:eastAsia="方正仿宋_GBK"/>
          <w:color w:val="000000" w:themeColor="text1"/>
          <w:sz w:val="32"/>
          <w:szCs w:val="32"/>
          <w14:textFill>
            <w14:solidFill>
              <w14:schemeClr w14:val="tx1"/>
            </w14:solidFill>
          </w14:textFill>
        </w:rPr>
        <w:t>中标公示结束</w:t>
      </w:r>
      <w:r>
        <w:rPr>
          <w:rFonts w:ascii="Times New Roman" w:hAnsi="Times New Roman" w:eastAsia="方正仿宋_GBK"/>
          <w:color w:val="000000" w:themeColor="text1"/>
          <w:sz w:val="32"/>
          <w:szCs w:val="32"/>
          <w14:textFill>
            <w14:solidFill>
              <w14:schemeClr w14:val="tx1"/>
            </w14:solidFill>
          </w14:textFill>
        </w:rPr>
        <w:t>后五个工作日内退还未中标人的投标保证金；在采购合同签订后，五个工作日退还中标人的投标保证金。按资金来款渠道直接退还。</w:t>
      </w:r>
    </w:p>
    <w:p>
      <w:pPr>
        <w:widowControl/>
        <w:spacing w:line="594" w:lineRule="exact"/>
        <w:ind w:firstLine="640" w:firstLineChars="200"/>
        <w:jc w:val="left"/>
        <w:rPr>
          <w:rFonts w:ascii="Times New Roman" w:hAnsi="Times New Roman" w:eastAsia="方正仿宋_GBK"/>
          <w:color w:val="000000" w:themeColor="text1"/>
          <w:sz w:val="32"/>
          <w:szCs w:val="32"/>
          <w14:textFill>
            <w14:solidFill>
              <w14:schemeClr w14:val="tx1"/>
            </w14:solidFill>
          </w14:textFill>
        </w:rPr>
      </w:pPr>
      <w:r>
        <w:rPr>
          <w:rFonts w:ascii="Times New Roman" w:hAnsi="Times New Roman" w:eastAsia="方正仿宋_GBK"/>
          <w:color w:val="000000" w:themeColor="text1"/>
          <w:sz w:val="32"/>
          <w:szCs w:val="32"/>
          <w14:textFill>
            <w14:solidFill>
              <w14:schemeClr w14:val="tx1"/>
            </w14:solidFill>
          </w14:textFill>
        </w:rPr>
        <w:t>2、出现流标、废标情况，流标、废标公告发布后三个工作日内向投标人办理保证金退还手续。同一项目采购公告再次发布后，投标人须按规定重新缴纳投标保证金。</w:t>
      </w:r>
    </w:p>
    <w:bookmarkEnd w:id="19"/>
    <w:bookmarkEnd w:id="20"/>
    <w:bookmarkEnd w:id="21"/>
    <w:bookmarkEnd w:id="22"/>
    <w:p>
      <w:pPr>
        <w:widowControl/>
        <w:spacing w:line="594"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八、采购参数及质量要求</w:t>
      </w:r>
    </w:p>
    <w:p>
      <w:pPr>
        <w:snapToGrid w:val="0"/>
        <w:spacing w:line="594" w:lineRule="exact"/>
        <w:ind w:firstLine="640" w:firstLineChars="200"/>
        <w:jc w:val="left"/>
        <w:rPr>
          <w:rFonts w:ascii="仿宋" w:hAnsi="仿宋" w:eastAsia="仿宋" w:cs="仿宋"/>
        </w:rPr>
      </w:pPr>
      <w:r>
        <w:rPr>
          <w:rFonts w:hint="eastAsia" w:ascii="仿宋" w:hAnsi="仿宋" w:eastAsia="仿宋" w:cs="仿宋"/>
          <w:sz w:val="32"/>
          <w:szCs w:val="32"/>
        </w:rPr>
        <w:t>采购项目明细</w:t>
      </w:r>
    </w:p>
    <w:tbl>
      <w:tblPr>
        <w:tblStyle w:val="57"/>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881"/>
        <w:gridCol w:w="360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序号</w:t>
            </w:r>
          </w:p>
        </w:tc>
        <w:tc>
          <w:tcPr>
            <w:tcW w:w="3881" w:type="dxa"/>
            <w:tcBorders>
              <w:top w:val="single" w:color="auto" w:sz="4" w:space="0"/>
              <w:left w:val="single" w:color="auto" w:sz="4" w:space="0"/>
              <w:bottom w:val="single" w:color="auto" w:sz="4" w:space="0"/>
              <w:right w:val="single" w:color="auto" w:sz="4" w:space="0"/>
            </w:tcBorders>
          </w:tcPr>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设备/服务名称</w:t>
            </w:r>
          </w:p>
        </w:tc>
        <w:tc>
          <w:tcPr>
            <w:tcW w:w="3600" w:type="dxa"/>
            <w:tcBorders>
              <w:top w:val="single" w:color="auto" w:sz="4" w:space="0"/>
              <w:left w:val="single" w:color="auto" w:sz="4" w:space="0"/>
              <w:bottom w:val="single" w:color="auto" w:sz="4" w:space="0"/>
              <w:right w:val="single" w:color="auto" w:sz="4" w:space="0"/>
            </w:tcBorders>
          </w:tcPr>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需求描述</w:t>
            </w:r>
          </w:p>
        </w:tc>
        <w:tc>
          <w:tcPr>
            <w:tcW w:w="1138" w:type="dxa"/>
            <w:tcBorders>
              <w:top w:val="single" w:color="auto" w:sz="4" w:space="0"/>
              <w:left w:val="single" w:color="auto" w:sz="4" w:space="0"/>
              <w:bottom w:val="single" w:color="auto" w:sz="4" w:space="0"/>
              <w:right w:val="single" w:color="auto" w:sz="4" w:space="0"/>
            </w:tcBorders>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1</w:t>
            </w:r>
          </w:p>
        </w:tc>
        <w:tc>
          <w:tcPr>
            <w:tcW w:w="3881"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rPr>
                <w:rFonts w:ascii="仿宋" w:hAnsi="仿宋" w:eastAsia="仿宋" w:cs="仿宋"/>
                <w:sz w:val="32"/>
                <w:szCs w:val="32"/>
              </w:rPr>
            </w:pPr>
            <w:r>
              <w:rPr>
                <w:rFonts w:hint="eastAsia" w:ascii="仿宋" w:hAnsi="仿宋" w:eastAsia="仿宋" w:cs="仿宋"/>
                <w:sz w:val="32"/>
                <w:szCs w:val="32"/>
              </w:rPr>
              <w:t>A栋负一层阅片室</w:t>
            </w:r>
          </w:p>
        </w:tc>
        <w:tc>
          <w:tcPr>
            <w:tcW w:w="3600" w:type="dxa"/>
            <w:tcBorders>
              <w:top w:val="single" w:color="auto" w:sz="4" w:space="0"/>
              <w:left w:val="single" w:color="auto" w:sz="4" w:space="0"/>
              <w:bottom w:val="single" w:color="auto" w:sz="4" w:space="0"/>
              <w:right w:val="single" w:color="auto" w:sz="4" w:space="0"/>
            </w:tcBorders>
          </w:tcPr>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见招标清单</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2</w:t>
            </w:r>
          </w:p>
        </w:tc>
        <w:tc>
          <w:tcPr>
            <w:tcW w:w="3881"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rPr>
                <w:rFonts w:ascii="仿宋" w:hAnsi="仿宋" w:eastAsia="仿宋" w:cs="仿宋"/>
                <w:sz w:val="32"/>
                <w:szCs w:val="32"/>
              </w:rPr>
            </w:pPr>
            <w:r>
              <w:rPr>
                <w:rFonts w:hint="eastAsia" w:ascii="仿宋" w:hAnsi="仿宋" w:eastAsia="仿宋" w:cs="仿宋"/>
                <w:sz w:val="32"/>
                <w:szCs w:val="32"/>
              </w:rPr>
              <w:t>A栋负一层会议室</w:t>
            </w:r>
          </w:p>
        </w:tc>
        <w:tc>
          <w:tcPr>
            <w:tcW w:w="3600" w:type="dxa"/>
            <w:tcBorders>
              <w:top w:val="single" w:color="auto" w:sz="4" w:space="0"/>
              <w:left w:val="single" w:color="auto" w:sz="4" w:space="0"/>
              <w:bottom w:val="single" w:color="auto" w:sz="4" w:space="0"/>
              <w:right w:val="single" w:color="auto" w:sz="4" w:space="0"/>
            </w:tcBorders>
          </w:tcPr>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见招标清单</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3</w:t>
            </w:r>
          </w:p>
        </w:tc>
        <w:tc>
          <w:tcPr>
            <w:tcW w:w="3881"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rPr>
                <w:rFonts w:ascii="仿宋" w:hAnsi="仿宋" w:eastAsia="仿宋" w:cs="仿宋"/>
                <w:sz w:val="32"/>
                <w:szCs w:val="32"/>
              </w:rPr>
            </w:pPr>
            <w:r>
              <w:rPr>
                <w:rFonts w:hint="eastAsia" w:ascii="仿宋" w:hAnsi="仿宋" w:eastAsia="仿宋" w:cs="仿宋"/>
                <w:sz w:val="32"/>
                <w:szCs w:val="32"/>
              </w:rPr>
              <w:t>A栋负一层骨密度室</w:t>
            </w:r>
          </w:p>
        </w:tc>
        <w:tc>
          <w:tcPr>
            <w:tcW w:w="3600" w:type="dxa"/>
            <w:tcBorders>
              <w:top w:val="single" w:color="auto" w:sz="4" w:space="0"/>
              <w:left w:val="single" w:color="auto" w:sz="4" w:space="0"/>
              <w:bottom w:val="single" w:color="auto" w:sz="4" w:space="0"/>
              <w:right w:val="single" w:color="auto" w:sz="4" w:space="0"/>
            </w:tcBorders>
          </w:tcPr>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见招标清单</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4</w:t>
            </w:r>
          </w:p>
        </w:tc>
        <w:tc>
          <w:tcPr>
            <w:tcW w:w="3881"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rPr>
                <w:rFonts w:ascii="仿宋" w:hAnsi="仿宋" w:eastAsia="仿宋" w:cs="仿宋"/>
                <w:sz w:val="32"/>
                <w:szCs w:val="32"/>
              </w:rPr>
            </w:pPr>
            <w:r>
              <w:rPr>
                <w:rFonts w:hint="eastAsia" w:ascii="仿宋" w:hAnsi="仿宋" w:eastAsia="仿宋" w:cs="仿宋"/>
                <w:sz w:val="32"/>
                <w:szCs w:val="32"/>
              </w:rPr>
              <w:t>A栋4层骨密度室</w:t>
            </w:r>
          </w:p>
        </w:tc>
        <w:tc>
          <w:tcPr>
            <w:tcW w:w="3600" w:type="dxa"/>
            <w:tcBorders>
              <w:top w:val="single" w:color="auto" w:sz="4" w:space="0"/>
              <w:left w:val="single" w:color="auto" w:sz="4" w:space="0"/>
              <w:bottom w:val="single" w:color="auto" w:sz="4" w:space="0"/>
              <w:right w:val="single" w:color="auto" w:sz="4" w:space="0"/>
            </w:tcBorders>
          </w:tcPr>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见招标清单</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5</w:t>
            </w:r>
          </w:p>
        </w:tc>
        <w:tc>
          <w:tcPr>
            <w:tcW w:w="3881"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rPr>
                <w:rFonts w:ascii="仿宋" w:hAnsi="仿宋" w:eastAsia="仿宋" w:cs="仿宋"/>
                <w:sz w:val="32"/>
                <w:szCs w:val="32"/>
              </w:rPr>
            </w:pPr>
            <w:r>
              <w:rPr>
                <w:rFonts w:hint="eastAsia" w:ascii="仿宋" w:hAnsi="仿宋" w:eastAsia="仿宋" w:cs="仿宋"/>
                <w:sz w:val="32"/>
                <w:szCs w:val="32"/>
              </w:rPr>
              <w:t>A栋4层骨DR室</w:t>
            </w:r>
          </w:p>
        </w:tc>
        <w:tc>
          <w:tcPr>
            <w:tcW w:w="3600" w:type="dxa"/>
            <w:tcBorders>
              <w:top w:val="single" w:color="auto" w:sz="4" w:space="0"/>
              <w:left w:val="single" w:color="auto" w:sz="4" w:space="0"/>
              <w:bottom w:val="single" w:color="auto" w:sz="4" w:space="0"/>
              <w:right w:val="single" w:color="auto" w:sz="4" w:space="0"/>
            </w:tcBorders>
          </w:tcPr>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见招标清单</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1间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5"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6</w:t>
            </w:r>
          </w:p>
        </w:tc>
        <w:tc>
          <w:tcPr>
            <w:tcW w:w="3881"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rPr>
                <w:rFonts w:ascii="仿宋" w:hAnsi="仿宋" w:eastAsia="仿宋" w:cs="仿宋"/>
                <w:sz w:val="32"/>
                <w:szCs w:val="32"/>
              </w:rPr>
            </w:pPr>
            <w:r>
              <w:rPr>
                <w:rFonts w:hint="eastAsia" w:ascii="仿宋" w:hAnsi="仿宋" w:eastAsia="仿宋" w:cs="仿宋"/>
                <w:sz w:val="32"/>
                <w:szCs w:val="32"/>
              </w:rPr>
              <w:t>A栋4层骨DR室强电安装</w:t>
            </w:r>
          </w:p>
        </w:tc>
        <w:tc>
          <w:tcPr>
            <w:tcW w:w="3600" w:type="dxa"/>
            <w:tcBorders>
              <w:top w:val="single" w:color="auto" w:sz="4" w:space="0"/>
              <w:left w:val="single" w:color="auto" w:sz="4" w:space="0"/>
              <w:bottom w:val="single" w:color="auto" w:sz="4" w:space="0"/>
              <w:right w:val="single" w:color="auto" w:sz="4" w:space="0"/>
            </w:tcBorders>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WDZA-YJY 4*70+1*35</w:t>
            </w:r>
          </w:p>
        </w:tc>
        <w:tc>
          <w:tcPr>
            <w:tcW w:w="1138" w:type="dxa"/>
            <w:tcBorders>
              <w:top w:val="single" w:color="auto" w:sz="4" w:space="0"/>
              <w:left w:val="single" w:color="auto" w:sz="4" w:space="0"/>
              <w:bottom w:val="single" w:color="auto" w:sz="4" w:space="0"/>
              <w:right w:val="single" w:color="auto" w:sz="4" w:space="0"/>
            </w:tcBorders>
            <w:vAlign w:val="center"/>
          </w:tcPr>
          <w:p>
            <w:pPr>
              <w:snapToGrid w:val="0"/>
              <w:spacing w:line="594" w:lineRule="exact"/>
              <w:jc w:val="left"/>
              <w:rPr>
                <w:rFonts w:ascii="仿宋" w:hAnsi="仿宋" w:eastAsia="仿宋" w:cs="仿宋"/>
                <w:sz w:val="32"/>
                <w:szCs w:val="32"/>
              </w:rPr>
            </w:pPr>
            <w:r>
              <w:rPr>
                <w:rFonts w:hint="eastAsia" w:ascii="仿宋" w:hAnsi="仿宋" w:eastAsia="仿宋" w:cs="仿宋"/>
                <w:sz w:val="32"/>
                <w:szCs w:val="32"/>
              </w:rPr>
              <w:t>1项</w:t>
            </w:r>
          </w:p>
        </w:tc>
      </w:tr>
    </w:tbl>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技术要求</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《重庆市中医骨科医院阅片室、会议室装饰工程施工图》</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《建设工程质量管理条例》（中华人民共和国国务院令第279号）</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《建筑工程施工质量验收统一标准》GB50300-2001</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《建筑装饰装修工程质量验收规范》GB50210-2001</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《建筑电气工程施工质量验收规范》GB50303-2002</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《民用建筑工程室内环境污染控制规范》GB50325-2001</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《建筑内部装修设计防火规范》GB50222-95</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《建筑工程施工现场供用电安全规范》GB50194-93</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《建筑工程项目管理规范》GB/T50326-2001</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《建筑玻璃应用技术规程》JGJ113-2003  J255-2003</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《工程建筑和标准强制性条文》共六项：GB18580-2001、GB18581-2001、GB18582-2001、GB18583-2001、GB18584-2001、GB18585-2001</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其它适用于本工程的技术标准和规范。</w:t>
      </w:r>
    </w:p>
    <w:p>
      <w:pPr>
        <w:spacing w:line="560" w:lineRule="exact"/>
        <w:ind w:firstLine="573"/>
        <w:rPr>
          <w:rFonts w:ascii="仿宋" w:hAnsi="仿宋" w:eastAsia="仿宋" w:cs="仿宋"/>
          <w:sz w:val="32"/>
          <w:szCs w:val="32"/>
        </w:rPr>
      </w:pPr>
      <w:r>
        <w:rPr>
          <w:rFonts w:hint="eastAsia" w:ascii="仿宋" w:hAnsi="仿宋" w:eastAsia="仿宋" w:cs="仿宋"/>
          <w:sz w:val="32"/>
          <w:szCs w:val="32"/>
        </w:rPr>
        <w:t>本公司贯彻ISO9001国际质量标准制定的《质量手册》和《程序文件》等有关质量体系文件。</w:t>
      </w:r>
    </w:p>
    <w:p>
      <w:pPr>
        <w:widowControl/>
        <w:spacing w:line="594"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九、商务需求</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（一）服务期限</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本次招标项目服务期限为签订合同生效后至质保期结束，质保期为两年。</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（二）服务地点</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重庆市中医骨科医院化龙桥院区一期项目：渝中区富华路19号</w:t>
      </w:r>
    </w:p>
    <w:p>
      <w:pPr>
        <w:pStyle w:val="5"/>
        <w:spacing w:before="0" w:after="0" w:line="594" w:lineRule="exact"/>
        <w:ind w:firstLine="640" w:firstLineChars="200"/>
        <w:jc w:val="left"/>
        <w:rPr>
          <w:rFonts w:ascii="仿宋" w:hAnsi="仿宋" w:eastAsia="仿宋" w:cs="仿宋"/>
          <w:b w:val="0"/>
          <w:color w:val="000000" w:themeColor="text1"/>
          <w:szCs w:val="32"/>
          <w14:textFill>
            <w14:solidFill>
              <w14:schemeClr w14:val="tx1"/>
            </w14:solidFill>
          </w14:textFill>
        </w:rPr>
      </w:pPr>
      <w:bookmarkStart w:id="28" w:name="_Toc2232"/>
      <w:r>
        <w:rPr>
          <w:rFonts w:hint="eastAsia" w:ascii="仿宋" w:hAnsi="仿宋" w:eastAsia="仿宋" w:cs="仿宋"/>
          <w:b w:val="0"/>
          <w:color w:val="000000" w:themeColor="text1"/>
          <w:szCs w:val="32"/>
          <w14:textFill>
            <w14:solidFill>
              <w14:schemeClr w14:val="tx1"/>
            </w14:solidFill>
          </w14:textFill>
        </w:rPr>
        <w:t>（三）验收方式</w:t>
      </w:r>
      <w:bookmarkEnd w:id="28"/>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安装结束后，由采购人对安装物品进行清点和检查，确认物品有无丢失或损坏，如有丢失或损坏，中标人照价赔偿。</w:t>
      </w:r>
    </w:p>
    <w:p>
      <w:pPr>
        <w:pStyle w:val="5"/>
        <w:spacing w:before="0" w:after="0" w:line="594" w:lineRule="exact"/>
        <w:ind w:firstLine="640" w:firstLineChars="200"/>
        <w:jc w:val="left"/>
        <w:rPr>
          <w:rFonts w:ascii="仿宋" w:hAnsi="仿宋" w:eastAsia="仿宋" w:cs="仿宋"/>
          <w:b w:val="0"/>
          <w:color w:val="000000" w:themeColor="text1"/>
          <w:szCs w:val="32"/>
          <w14:textFill>
            <w14:solidFill>
              <w14:schemeClr w14:val="tx1"/>
            </w14:solidFill>
          </w14:textFill>
        </w:rPr>
      </w:pPr>
      <w:bookmarkStart w:id="29" w:name="_Toc22086"/>
      <w:bookmarkStart w:id="30" w:name="_Toc55915762"/>
      <w:bookmarkStart w:id="31" w:name="_Toc484597932"/>
      <w:r>
        <w:rPr>
          <w:rFonts w:hint="eastAsia" w:ascii="仿宋" w:hAnsi="仿宋" w:eastAsia="仿宋" w:cs="仿宋"/>
          <w:b w:val="0"/>
          <w:color w:val="000000" w:themeColor="text1"/>
          <w:szCs w:val="32"/>
          <w14:textFill>
            <w14:solidFill>
              <w14:schemeClr w14:val="tx1"/>
            </w14:solidFill>
          </w14:textFill>
        </w:rPr>
        <w:t>（四）报价要求</w:t>
      </w:r>
      <w:bookmarkEnd w:id="29"/>
      <w:bookmarkEnd w:id="30"/>
      <w:bookmarkEnd w:id="31"/>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bookmarkStart w:id="32" w:name="_Toc55915763"/>
      <w:bookmarkStart w:id="33" w:name="_Toc267320051"/>
      <w:bookmarkStart w:id="34" w:name="_Toc484597933"/>
      <w:r>
        <w:rPr>
          <w:rFonts w:hint="eastAsia" w:ascii="仿宋" w:hAnsi="仿宋" w:eastAsia="仿宋" w:cs="仿宋"/>
          <w:color w:val="000000" w:themeColor="text1"/>
          <w:sz w:val="32"/>
          <w:szCs w:val="32"/>
          <w14:textFill>
            <w14:solidFill>
              <w14:schemeClr w14:val="tx1"/>
            </w14:solidFill>
          </w14:textFill>
        </w:rPr>
        <w:t>1、投标人应对本项目按包干含税价进行报价。</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2、本次报价须为人民币报价，投标报价包括但不仅限于：劳务费、运输费、油费、保险费、</w:t>
      </w:r>
      <w:r>
        <w:rPr>
          <w:rFonts w:hint="eastAsia" w:ascii="仿宋" w:hAnsi="仿宋" w:eastAsia="仿宋" w:cs="仿宋"/>
          <w:bCs/>
          <w:color w:val="000000" w:themeColor="text1"/>
          <w:sz w:val="32"/>
          <w:szCs w:val="32"/>
          <w14:textFill>
            <w14:solidFill>
              <w14:schemeClr w14:val="tx1"/>
            </w14:solidFill>
          </w14:textFill>
        </w:rPr>
        <w:t>安装调试费、</w:t>
      </w:r>
      <w:r>
        <w:rPr>
          <w:rFonts w:hint="eastAsia" w:ascii="仿宋" w:hAnsi="仿宋" w:eastAsia="仿宋" w:cs="仿宋"/>
          <w:color w:val="000000" w:themeColor="text1"/>
          <w:sz w:val="32"/>
          <w:szCs w:val="32"/>
          <w14:textFill>
            <w14:solidFill>
              <w14:schemeClr w14:val="tx1"/>
            </w14:solidFill>
          </w14:textFill>
        </w:rPr>
        <w:t>管理费、所有税费等费用。</w:t>
      </w:r>
      <w:r>
        <w:rPr>
          <w:rFonts w:hint="eastAsia" w:ascii="仿宋" w:hAnsi="仿宋" w:eastAsia="仿宋" w:cs="仿宋"/>
          <w:bCs/>
          <w:color w:val="000000" w:themeColor="text1"/>
          <w:sz w:val="32"/>
          <w:szCs w:val="32"/>
          <w14:textFill>
            <w14:solidFill>
              <w14:schemeClr w14:val="tx1"/>
            </w14:solidFill>
          </w14:textFill>
        </w:rPr>
        <w:t>因投标人自身原因造成漏报、少报皆由其自行承担责任，采购人不再补偿。</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3、投标人自行考虑并承担一切安全风险。</w:t>
      </w:r>
    </w:p>
    <w:p>
      <w:pPr>
        <w:pStyle w:val="5"/>
        <w:spacing w:before="0" w:after="0" w:line="594" w:lineRule="exact"/>
        <w:ind w:firstLine="640" w:firstLineChars="200"/>
        <w:jc w:val="left"/>
        <w:rPr>
          <w:rFonts w:ascii="仿宋" w:hAnsi="仿宋" w:eastAsia="仿宋" w:cs="仿宋"/>
          <w:b w:val="0"/>
          <w:color w:val="000000" w:themeColor="text1"/>
          <w:szCs w:val="32"/>
          <w14:textFill>
            <w14:solidFill>
              <w14:schemeClr w14:val="tx1"/>
            </w14:solidFill>
          </w14:textFill>
        </w:rPr>
      </w:pPr>
      <w:bookmarkStart w:id="35" w:name="_Toc27389"/>
      <w:r>
        <w:rPr>
          <w:rFonts w:hint="eastAsia" w:ascii="仿宋" w:hAnsi="仿宋" w:eastAsia="仿宋" w:cs="仿宋"/>
          <w:b w:val="0"/>
          <w:color w:val="000000" w:themeColor="text1"/>
          <w:szCs w:val="32"/>
          <w14:textFill>
            <w14:solidFill>
              <w14:schemeClr w14:val="tx1"/>
            </w14:solidFill>
          </w14:textFill>
        </w:rPr>
        <w:t>（五）付款方式</w:t>
      </w:r>
      <w:bookmarkEnd w:id="32"/>
      <w:bookmarkEnd w:id="33"/>
      <w:bookmarkEnd w:id="34"/>
      <w:bookmarkEnd w:id="35"/>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1、合同签订前中标人向采购人缴纳合同金额10%的履约保证金（以转账的形式提交）。</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中标人收到采购人发出的中标通知书后，按照上述约定将本项目的履约保证金缴纳给采购人。</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2、安装服务结束后，经采购人验收，如有扣款的，中标人开具有效票据按双方核定金额结算。</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3、合同生效过程中，采购人如要求增加未事先约定的服务项目，增加部分由双方协商确定。</w:t>
      </w:r>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4、履约保证金在合同期满后且验收合格后五个工作日内无息退款中标人。</w:t>
      </w:r>
      <w:r>
        <w:rPr>
          <w:rFonts w:hint="eastAsia" w:ascii="仿宋" w:hAnsi="仿宋" w:eastAsia="仿宋" w:cs="仿宋"/>
          <w:color w:val="000000" w:themeColor="text1"/>
          <w:sz w:val="32"/>
          <w:szCs w:val="32"/>
          <w14:textFill>
            <w14:solidFill>
              <w14:schemeClr w14:val="tx1"/>
            </w14:solidFill>
          </w14:textFill>
        </w:rPr>
        <w:tab/>
      </w:r>
    </w:p>
    <w:p>
      <w:pPr>
        <w:pStyle w:val="5"/>
        <w:spacing w:before="0" w:after="0" w:line="594" w:lineRule="exact"/>
        <w:ind w:firstLine="640" w:firstLineChars="200"/>
        <w:jc w:val="left"/>
        <w:rPr>
          <w:rFonts w:ascii="仿宋" w:hAnsi="仿宋" w:eastAsia="仿宋" w:cs="仿宋"/>
          <w:b w:val="0"/>
          <w:color w:val="000000" w:themeColor="text1"/>
          <w:szCs w:val="32"/>
          <w14:textFill>
            <w14:solidFill>
              <w14:schemeClr w14:val="tx1"/>
            </w14:solidFill>
          </w14:textFill>
        </w:rPr>
      </w:pPr>
      <w:bookmarkStart w:id="36" w:name="_Toc12420"/>
      <w:bookmarkStart w:id="37" w:name="_Toc55915766"/>
      <w:bookmarkStart w:id="38" w:name="_Toc484597935"/>
      <w:bookmarkStart w:id="39" w:name="_Toc267320054"/>
      <w:r>
        <w:rPr>
          <w:rFonts w:hint="eastAsia" w:ascii="仿宋" w:hAnsi="仿宋" w:eastAsia="仿宋" w:cs="仿宋"/>
          <w:b w:val="0"/>
          <w:color w:val="000000" w:themeColor="text1"/>
          <w:szCs w:val="32"/>
          <w14:textFill>
            <w14:solidFill>
              <w14:schemeClr w14:val="tx1"/>
            </w14:solidFill>
          </w14:textFill>
        </w:rPr>
        <w:t>（六）其他</w:t>
      </w:r>
      <w:bookmarkEnd w:id="36"/>
      <w:bookmarkEnd w:id="37"/>
      <w:bookmarkEnd w:id="38"/>
      <w:bookmarkEnd w:id="39"/>
    </w:p>
    <w:p>
      <w:pPr>
        <w:widowControl/>
        <w:spacing w:line="594"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其他未尽事宜由供需双方在采购合同中详细约定。</w:t>
      </w:r>
    </w:p>
    <w:p>
      <w:pPr>
        <w:widowControl/>
        <w:spacing w:line="594" w:lineRule="exact"/>
        <w:ind w:firstLine="643" w:firstLineChars="200"/>
        <w:jc w:val="left"/>
        <w:rPr>
          <w:rFonts w:ascii="仿宋" w:hAnsi="仿宋" w:eastAsia="仿宋" w:cs="仿宋"/>
          <w:b/>
          <w:color w:val="000000"/>
          <w:kern w:val="0"/>
          <w:sz w:val="32"/>
          <w:szCs w:val="32"/>
        </w:rPr>
      </w:pPr>
      <w:bookmarkStart w:id="40" w:name="_Toc32136"/>
      <w:bookmarkStart w:id="41" w:name="_Toc107405804"/>
      <w:r>
        <w:rPr>
          <w:rFonts w:hint="eastAsia" w:ascii="仿宋" w:hAnsi="仿宋" w:eastAsia="仿宋" w:cs="仿宋"/>
          <w:b/>
          <w:color w:val="000000"/>
          <w:kern w:val="0"/>
          <w:sz w:val="32"/>
          <w:szCs w:val="32"/>
        </w:rPr>
        <w:t>十、评标方法</w:t>
      </w:r>
      <w:bookmarkEnd w:id="40"/>
      <w:bookmarkEnd w:id="41"/>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（一）本项目采用综合评分法进行评标。</w:t>
      </w:r>
    </w:p>
    <w:p>
      <w:pPr>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综合评分法，是指投标文件满足招标文件全部实质性要求且按照评审因素的量化指标评审得分最高的投标人为中标候选人的评标方法。投标人总得分为价格、服务、商务等评定因素分别按照相应权重值计算分项得分后相加，满分为100分。</w:t>
      </w:r>
    </w:p>
    <w:p>
      <w:pPr>
        <w:pStyle w:val="5"/>
        <w:numPr>
          <w:ilvl w:val="0"/>
          <w:numId w:val="12"/>
        </w:numPr>
        <w:spacing w:before="0" w:after="0" w:line="594" w:lineRule="exact"/>
        <w:ind w:firstLine="640" w:firstLineChars="200"/>
        <w:jc w:val="left"/>
        <w:rPr>
          <w:rFonts w:ascii="仿宋" w:hAnsi="仿宋" w:eastAsia="仿宋" w:cs="仿宋"/>
          <w:b w:val="0"/>
          <w:bCs/>
          <w:szCs w:val="32"/>
        </w:rPr>
      </w:pPr>
      <w:r>
        <w:rPr>
          <w:rFonts w:hint="eastAsia" w:ascii="仿宋" w:hAnsi="仿宋" w:eastAsia="仿宋" w:cs="仿宋"/>
          <w:b w:val="0"/>
          <w:bCs/>
          <w:szCs w:val="32"/>
        </w:rPr>
        <w:t>评标标</w:t>
      </w:r>
    </w:p>
    <w:tbl>
      <w:tblPr>
        <w:tblStyle w:val="57"/>
        <w:tblW w:w="9803"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128"/>
        <w:gridCol w:w="1128"/>
        <w:gridCol w:w="5359"/>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37" w:type="dxa"/>
            <w:vAlign w:val="center"/>
          </w:tcPr>
          <w:p>
            <w:pPr>
              <w:spacing w:line="560" w:lineRule="exact"/>
              <w:jc w:val="center"/>
              <w:rPr>
                <w:rFonts w:ascii="仿宋" w:hAnsi="仿宋" w:eastAsia="仿宋" w:cs="仿宋"/>
              </w:rPr>
            </w:pPr>
            <w:r>
              <w:rPr>
                <w:rFonts w:hint="eastAsia" w:ascii="仿宋" w:hAnsi="仿宋" w:eastAsia="仿宋" w:cs="仿宋"/>
              </w:rPr>
              <w:t>序号</w:t>
            </w:r>
          </w:p>
        </w:tc>
        <w:tc>
          <w:tcPr>
            <w:tcW w:w="1128" w:type="dxa"/>
            <w:vAlign w:val="center"/>
          </w:tcPr>
          <w:p>
            <w:pPr>
              <w:spacing w:line="560" w:lineRule="exact"/>
              <w:jc w:val="center"/>
              <w:rPr>
                <w:rFonts w:ascii="仿宋" w:hAnsi="仿宋" w:eastAsia="仿宋" w:cs="仿宋"/>
              </w:rPr>
            </w:pPr>
            <w:r>
              <w:rPr>
                <w:rFonts w:hint="eastAsia" w:ascii="仿宋" w:hAnsi="仿宋" w:eastAsia="仿宋" w:cs="仿宋"/>
              </w:rPr>
              <w:t>评分因素</w:t>
            </w:r>
          </w:p>
        </w:tc>
        <w:tc>
          <w:tcPr>
            <w:tcW w:w="1128" w:type="dxa"/>
            <w:vAlign w:val="center"/>
          </w:tcPr>
          <w:p>
            <w:pPr>
              <w:spacing w:line="560" w:lineRule="exact"/>
              <w:jc w:val="center"/>
              <w:rPr>
                <w:rFonts w:ascii="仿宋" w:hAnsi="仿宋" w:eastAsia="仿宋" w:cs="仿宋"/>
              </w:rPr>
            </w:pPr>
            <w:r>
              <w:rPr>
                <w:rFonts w:hint="eastAsia" w:ascii="仿宋" w:hAnsi="仿宋" w:eastAsia="仿宋" w:cs="仿宋"/>
              </w:rPr>
              <w:t>分值</w:t>
            </w:r>
          </w:p>
        </w:tc>
        <w:tc>
          <w:tcPr>
            <w:tcW w:w="5359" w:type="dxa"/>
            <w:vAlign w:val="center"/>
          </w:tcPr>
          <w:p>
            <w:pPr>
              <w:spacing w:line="560" w:lineRule="exact"/>
              <w:jc w:val="center"/>
              <w:rPr>
                <w:rFonts w:ascii="仿宋" w:hAnsi="仿宋" w:eastAsia="仿宋" w:cs="仿宋"/>
              </w:rPr>
            </w:pPr>
            <w:r>
              <w:rPr>
                <w:rFonts w:hint="eastAsia" w:ascii="仿宋" w:hAnsi="仿宋" w:eastAsia="仿宋" w:cs="仿宋"/>
              </w:rPr>
              <w:t>评分标准</w:t>
            </w:r>
          </w:p>
        </w:tc>
        <w:tc>
          <w:tcPr>
            <w:tcW w:w="1551" w:type="dxa"/>
            <w:vAlign w:val="center"/>
          </w:tcPr>
          <w:p>
            <w:pPr>
              <w:spacing w:line="560" w:lineRule="exact"/>
              <w:jc w:val="center"/>
              <w:rPr>
                <w:rFonts w:ascii="仿宋" w:hAnsi="仿宋" w:eastAsia="仿宋" w:cs="仿宋"/>
              </w:rPr>
            </w:pPr>
            <w:r>
              <w:rPr>
                <w:rFonts w:hint="eastAsia" w:ascii="仿宋" w:hAnsi="仿宋" w:eastAsia="仿宋" w:cs="仿宋"/>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4" w:hRule="atLeast"/>
        </w:trPr>
        <w:tc>
          <w:tcPr>
            <w:tcW w:w="637" w:type="dxa"/>
            <w:vAlign w:val="center"/>
          </w:tcPr>
          <w:p>
            <w:pPr>
              <w:spacing w:line="560" w:lineRule="exact"/>
              <w:jc w:val="center"/>
              <w:rPr>
                <w:rFonts w:ascii="仿宋" w:hAnsi="仿宋" w:eastAsia="仿宋" w:cs="仿宋"/>
              </w:rPr>
            </w:pPr>
            <w:r>
              <w:rPr>
                <w:rFonts w:hint="eastAsia" w:ascii="仿宋" w:hAnsi="仿宋" w:eastAsia="仿宋" w:cs="仿宋"/>
              </w:rPr>
              <w:t>1</w:t>
            </w:r>
          </w:p>
        </w:tc>
        <w:tc>
          <w:tcPr>
            <w:tcW w:w="1128" w:type="dxa"/>
            <w:vAlign w:val="center"/>
          </w:tcPr>
          <w:p>
            <w:pPr>
              <w:spacing w:line="560" w:lineRule="exact"/>
              <w:jc w:val="center"/>
              <w:rPr>
                <w:rFonts w:ascii="仿宋" w:hAnsi="仿宋" w:eastAsia="仿宋" w:cs="仿宋"/>
              </w:rPr>
            </w:pPr>
            <w:r>
              <w:rPr>
                <w:rFonts w:hint="eastAsia" w:ascii="仿宋" w:hAnsi="仿宋" w:eastAsia="仿宋" w:cs="仿宋"/>
              </w:rPr>
              <w:t>报价</w:t>
            </w:r>
          </w:p>
          <w:p>
            <w:pPr>
              <w:spacing w:line="560" w:lineRule="exact"/>
              <w:jc w:val="center"/>
              <w:rPr>
                <w:rFonts w:ascii="仿宋" w:hAnsi="仿宋" w:eastAsia="仿宋" w:cs="仿宋"/>
              </w:rPr>
            </w:pPr>
            <w:r>
              <w:rPr>
                <w:rFonts w:hint="eastAsia" w:ascii="仿宋" w:hAnsi="仿宋" w:eastAsia="仿宋" w:cs="仿宋"/>
              </w:rPr>
              <w:t>（40%）</w:t>
            </w:r>
          </w:p>
        </w:tc>
        <w:tc>
          <w:tcPr>
            <w:tcW w:w="1128" w:type="dxa"/>
            <w:vAlign w:val="center"/>
          </w:tcPr>
          <w:p>
            <w:pPr>
              <w:spacing w:line="560" w:lineRule="exact"/>
              <w:jc w:val="center"/>
              <w:rPr>
                <w:rFonts w:ascii="仿宋" w:hAnsi="仿宋" w:eastAsia="仿宋" w:cs="仿宋"/>
              </w:rPr>
            </w:pPr>
            <w:r>
              <w:rPr>
                <w:rFonts w:hint="eastAsia" w:ascii="仿宋" w:hAnsi="仿宋" w:eastAsia="仿宋" w:cs="仿宋"/>
              </w:rPr>
              <w:t>40分</w:t>
            </w:r>
          </w:p>
        </w:tc>
        <w:tc>
          <w:tcPr>
            <w:tcW w:w="5359" w:type="dxa"/>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在有效的报价中，所有报价最低的为评审基准价，按照下列公式计算每个供应商的竞采报价得分。</w:t>
            </w:r>
          </w:p>
          <w:p>
            <w:pPr>
              <w:spacing w:line="560" w:lineRule="exact"/>
              <w:ind w:firstLine="420" w:firstLineChars="200"/>
              <w:jc w:val="left"/>
              <w:rPr>
                <w:rFonts w:ascii="仿宋" w:hAnsi="仿宋" w:eastAsia="仿宋" w:cs="仿宋"/>
              </w:rPr>
            </w:pPr>
            <w:r>
              <w:rPr>
                <w:rFonts w:hint="eastAsia" w:ascii="仿宋" w:hAnsi="仿宋" w:eastAsia="仿宋" w:cs="仿宋"/>
              </w:rPr>
              <w:t>竞采报价得分＝（评审基准价/供应商所报报价）×价格权重（40%）×100。</w:t>
            </w:r>
          </w:p>
          <w:p>
            <w:pPr>
              <w:spacing w:line="560" w:lineRule="exact"/>
              <w:ind w:firstLine="422" w:firstLineChars="200"/>
              <w:jc w:val="left"/>
              <w:rPr>
                <w:rFonts w:ascii="仿宋" w:hAnsi="仿宋" w:eastAsia="仿宋" w:cs="仿宋"/>
                <w:b/>
              </w:rPr>
            </w:pPr>
            <w:r>
              <w:rPr>
                <w:rFonts w:hint="eastAsia" w:ascii="仿宋" w:hAnsi="仿宋" w:eastAsia="仿宋" w:cs="仿宋"/>
                <w:b/>
              </w:rPr>
              <w:t>注：报价分四舍五入保留小数点后2位。</w:t>
            </w:r>
          </w:p>
        </w:tc>
        <w:tc>
          <w:tcPr>
            <w:tcW w:w="1551" w:type="dxa"/>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37" w:type="dxa"/>
            <w:vMerge w:val="restart"/>
            <w:tcBorders>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2</w:t>
            </w:r>
          </w:p>
        </w:tc>
        <w:tc>
          <w:tcPr>
            <w:tcW w:w="1128" w:type="dxa"/>
            <w:vMerge w:val="restart"/>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技术部分（50%）</w:t>
            </w: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施工方案与技术措施（10分）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针对本工程具体特点编制的施工组织设计的施工方案与技术措施，对本项目具有针对性。方案好，技术性强，针对性强，具有操作性，得10分；方案较好，技术性较强，较有针对性强，具有一定操作性得7分；方案条理不清、操作性不强，得3分。未提供的，得0分。</w:t>
            </w:r>
          </w:p>
        </w:tc>
        <w:tc>
          <w:tcPr>
            <w:tcW w:w="1551" w:type="dxa"/>
            <w:vMerge w:val="restart"/>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质量管理体系与措施</w:t>
            </w:r>
          </w:p>
          <w:p>
            <w:pPr>
              <w:spacing w:line="560" w:lineRule="exact"/>
              <w:jc w:val="center"/>
              <w:rPr>
                <w:rFonts w:ascii="仿宋" w:hAnsi="仿宋" w:eastAsia="仿宋" w:cs="仿宋"/>
              </w:rPr>
            </w:pPr>
            <w:r>
              <w:rPr>
                <w:rFonts w:hint="eastAsia" w:ascii="仿宋" w:hAnsi="仿宋" w:eastAsia="仿宋" w:cs="仿宋"/>
              </w:rPr>
              <w:t>（10分）</w:t>
            </w:r>
          </w:p>
        </w:tc>
        <w:tc>
          <w:tcPr>
            <w:tcW w:w="5359" w:type="dxa"/>
            <w:tcBorders>
              <w:left w:val="single" w:color="auto" w:sz="4" w:space="0"/>
              <w:right w:val="single" w:color="auto" w:sz="4" w:space="0"/>
            </w:tcBorders>
            <w:vAlign w:val="center"/>
          </w:tcPr>
          <w:p>
            <w:pPr>
              <w:spacing w:line="560" w:lineRule="exact"/>
              <w:ind w:firstLine="210" w:firstLineChars="100"/>
              <w:jc w:val="left"/>
              <w:rPr>
                <w:rFonts w:ascii="仿宋" w:hAnsi="仿宋" w:eastAsia="仿宋" w:cs="仿宋"/>
              </w:rPr>
            </w:pPr>
            <w:r>
              <w:rPr>
                <w:rFonts w:hint="eastAsia" w:ascii="仿宋" w:hAnsi="仿宋" w:eastAsia="仿宋" w:cs="仿宋"/>
              </w:rPr>
              <w:t>工程的质量管理体系健全有效，硬性措施切实可行，限期工程的赶工措施可行，得10分；管理体系、措施较好7分，较差3分。未提供的，得0分。</w:t>
            </w:r>
          </w:p>
        </w:tc>
        <w:tc>
          <w:tcPr>
            <w:tcW w:w="1551" w:type="dxa"/>
            <w:vMerge w:val="continue"/>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安全管理体系与措施（10分）</w:t>
            </w:r>
          </w:p>
        </w:tc>
        <w:tc>
          <w:tcPr>
            <w:tcW w:w="5359" w:type="dxa"/>
            <w:tcBorders>
              <w:left w:val="single" w:color="auto" w:sz="4" w:space="0"/>
              <w:right w:val="single" w:color="auto" w:sz="4" w:space="0"/>
            </w:tcBorders>
          </w:tcPr>
          <w:p>
            <w:pPr>
              <w:spacing w:line="560" w:lineRule="exact"/>
              <w:ind w:firstLine="420" w:firstLineChars="200"/>
              <w:jc w:val="left"/>
              <w:rPr>
                <w:rFonts w:ascii="仿宋" w:hAnsi="仿宋" w:eastAsia="仿宋" w:cs="仿宋"/>
              </w:rPr>
            </w:pPr>
            <w:r>
              <w:rPr>
                <w:rFonts w:hint="eastAsia" w:ascii="仿宋" w:hAnsi="仿宋" w:eastAsia="仿宋" w:cs="仿宋"/>
              </w:rPr>
              <w:t>安全管理体系健全，措施可行，得10分；制度较全，措施不太切合实际，得7分；管理制度不全、不可行得3分。未提供的，得0分。</w:t>
            </w:r>
          </w:p>
        </w:tc>
        <w:tc>
          <w:tcPr>
            <w:tcW w:w="1551" w:type="dxa"/>
            <w:vMerge w:val="continue"/>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环境保护管理体系措施   （10分）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有利于项目相应的环境保护组织机构，根据项目特点，识别评价环境影响因素，制定相应的预防控制措施，切合实际。供应商提供的环境保护管理体系与措施合理、科学，具有实操性的，得10分，比较合理、科学，难以实操的，得7分。不合理、科学，不具备实操性的，得3分。未提供的，得0分。</w:t>
            </w:r>
          </w:p>
        </w:tc>
        <w:tc>
          <w:tcPr>
            <w:tcW w:w="1551" w:type="dxa"/>
            <w:vMerge w:val="continue"/>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637" w:type="dxa"/>
            <w:vMerge w:val="continue"/>
            <w:tcBorders>
              <w:right w:val="single" w:color="auto" w:sz="4" w:space="0"/>
            </w:tcBorders>
            <w:vAlign w:val="center"/>
          </w:tcPr>
          <w:p>
            <w:pPr>
              <w:spacing w:line="560" w:lineRule="exact"/>
              <w:jc w:val="center"/>
              <w:rPr>
                <w:rFonts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工程进度计划与措施（10分）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hint="eastAsia" w:ascii="仿宋" w:hAnsi="仿宋" w:eastAsia="仿宋" w:cs="仿宋"/>
              </w:rPr>
              <w:t>工期安排合理可行，在确保质量、降低成本、缩短工期、提高工效等方面所起的作用，好得10分；较好得7分；较差得3分。未提供的，得0分。</w:t>
            </w:r>
          </w:p>
        </w:tc>
        <w:tc>
          <w:tcPr>
            <w:tcW w:w="1551" w:type="dxa"/>
            <w:vMerge w:val="continue"/>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637" w:type="dxa"/>
            <w:vMerge w:val="restart"/>
            <w:tcBorders>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3</w:t>
            </w:r>
          </w:p>
        </w:tc>
        <w:tc>
          <w:tcPr>
            <w:tcW w:w="1128" w:type="dxa"/>
            <w:vMerge w:val="restart"/>
            <w:tcBorders>
              <w:left w:val="single" w:color="auto" w:sz="4" w:space="0"/>
              <w:right w:val="single" w:color="auto" w:sz="4" w:space="0"/>
            </w:tcBorders>
            <w:vAlign w:val="center"/>
          </w:tcPr>
          <w:p>
            <w:pPr>
              <w:spacing w:line="560" w:lineRule="exact"/>
              <w:jc w:val="center"/>
              <w:rPr>
                <w:rFonts w:ascii="仿宋" w:hAnsi="仿宋" w:eastAsia="仿宋" w:cs="仿宋"/>
              </w:rPr>
            </w:pPr>
            <w:r>
              <w:rPr>
                <w:rFonts w:ascii="仿宋" w:hAnsi="仿宋" w:eastAsia="仿宋" w:cs="仿宋"/>
              </w:rPr>
              <w:t>商务部分</w:t>
            </w:r>
            <w:r>
              <w:rPr>
                <w:rFonts w:hint="eastAsia" w:ascii="仿宋" w:hAnsi="仿宋" w:eastAsia="仿宋" w:cs="仿宋"/>
              </w:rPr>
              <w:t>（10分）</w:t>
            </w:r>
          </w:p>
        </w:tc>
        <w:tc>
          <w:tcPr>
            <w:tcW w:w="1128" w:type="dxa"/>
            <w:tcBorders>
              <w:left w:val="single" w:color="auto" w:sz="4" w:space="0"/>
              <w:right w:val="single" w:color="auto" w:sz="4" w:space="0"/>
            </w:tcBorders>
            <w:vAlign w:val="center"/>
          </w:tcPr>
          <w:p>
            <w:pPr>
              <w:spacing w:line="560" w:lineRule="exact"/>
              <w:jc w:val="center"/>
              <w:rPr>
                <w:rFonts w:ascii="仿宋" w:hAnsi="仿宋" w:eastAsia="仿宋" w:cs="仿宋"/>
              </w:rPr>
            </w:pPr>
            <w:r>
              <w:rPr>
                <w:rFonts w:hint="eastAsia" w:ascii="仿宋" w:hAnsi="仿宋" w:eastAsia="仿宋" w:cs="仿宋"/>
              </w:rPr>
              <w:t>质保承诺 （5分）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ascii="仿宋" w:hAnsi="仿宋" w:eastAsia="仿宋" w:cs="仿宋"/>
              </w:rPr>
            </w:pPr>
            <w:r>
              <w:rPr>
                <w:rFonts w:ascii="仿宋" w:hAnsi="仿宋" w:eastAsia="仿宋" w:cs="仿宋"/>
              </w:rPr>
              <w:t>质保期最低</w:t>
            </w:r>
            <w:r>
              <w:rPr>
                <w:rFonts w:hint="eastAsia" w:ascii="仿宋" w:hAnsi="仿宋" w:eastAsia="仿宋" w:cs="仿宋"/>
              </w:rPr>
              <w:t>2年，承诺在此基础上每增加1年质保得2分，2年得4分，依次类推，最高得5分。</w:t>
            </w:r>
          </w:p>
        </w:tc>
        <w:tc>
          <w:tcPr>
            <w:tcW w:w="1551" w:type="dxa"/>
            <w:tcBorders>
              <w:left w:val="single" w:color="auto" w:sz="4" w:space="0"/>
            </w:tcBorders>
            <w:vAlign w:val="center"/>
          </w:tcPr>
          <w:p>
            <w:pPr>
              <w:spacing w:line="56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637" w:type="dxa"/>
            <w:vMerge w:val="continue"/>
            <w:tcBorders>
              <w:right w:val="single" w:color="auto" w:sz="4" w:space="0"/>
            </w:tcBorders>
            <w:vAlign w:val="center"/>
          </w:tcPr>
          <w:p>
            <w:pPr>
              <w:spacing w:line="560" w:lineRule="exact"/>
              <w:jc w:val="center"/>
              <w:rPr>
                <w:rFonts w:hint="eastAsia" w:ascii="仿宋" w:hAnsi="仿宋" w:eastAsia="仿宋" w:cs="仿宋"/>
              </w:rPr>
            </w:pPr>
          </w:p>
        </w:tc>
        <w:tc>
          <w:tcPr>
            <w:tcW w:w="1128" w:type="dxa"/>
            <w:vMerge w:val="continue"/>
            <w:tcBorders>
              <w:left w:val="single" w:color="auto" w:sz="4" w:space="0"/>
              <w:right w:val="single" w:color="auto" w:sz="4" w:space="0"/>
            </w:tcBorders>
            <w:vAlign w:val="center"/>
          </w:tcPr>
          <w:p>
            <w:pPr>
              <w:spacing w:line="560" w:lineRule="exact"/>
              <w:jc w:val="center"/>
              <w:rPr>
                <w:rFonts w:ascii="仿宋" w:hAnsi="仿宋" w:eastAsia="仿宋" w:cs="仿宋"/>
              </w:rPr>
            </w:pPr>
          </w:p>
        </w:tc>
        <w:tc>
          <w:tcPr>
            <w:tcW w:w="1128" w:type="dxa"/>
            <w:tcBorders>
              <w:left w:val="single" w:color="auto" w:sz="4" w:space="0"/>
              <w:right w:val="single" w:color="auto" w:sz="4" w:space="0"/>
            </w:tcBorders>
            <w:vAlign w:val="center"/>
          </w:tcPr>
          <w:p>
            <w:pPr>
              <w:spacing w:line="560" w:lineRule="exact"/>
              <w:jc w:val="center"/>
              <w:rPr>
                <w:rFonts w:hint="eastAsia" w:ascii="仿宋" w:hAnsi="仿宋" w:eastAsia="仿宋" w:cs="仿宋"/>
              </w:rPr>
            </w:pPr>
            <w:r>
              <w:rPr>
                <w:rFonts w:hint="eastAsia" w:ascii="仿宋" w:hAnsi="仿宋" w:eastAsia="仿宋" w:cs="仿宋"/>
              </w:rPr>
              <w:t>类似业绩（5分）</w:t>
            </w:r>
          </w:p>
        </w:tc>
        <w:tc>
          <w:tcPr>
            <w:tcW w:w="5359" w:type="dxa"/>
            <w:tcBorders>
              <w:left w:val="single" w:color="auto" w:sz="4" w:space="0"/>
              <w:right w:val="single" w:color="auto" w:sz="4" w:space="0"/>
            </w:tcBorders>
            <w:vAlign w:val="center"/>
          </w:tcPr>
          <w:p>
            <w:pPr>
              <w:spacing w:line="560" w:lineRule="exact"/>
              <w:ind w:firstLine="420" w:firstLineChars="200"/>
              <w:jc w:val="left"/>
              <w:rPr>
                <w:rFonts w:hint="eastAsia" w:ascii="仿宋" w:hAnsi="仿宋" w:eastAsia="仿宋" w:cs="仿宋"/>
              </w:rPr>
            </w:pPr>
            <w:r>
              <w:rPr>
                <w:rFonts w:hint="eastAsia" w:ascii="仿宋" w:hAnsi="仿宋" w:eastAsia="仿宋" w:cs="仿宋"/>
              </w:rPr>
              <w:t>每提供类似业绩得2分，此项最多加5分</w:t>
            </w:r>
          </w:p>
        </w:tc>
        <w:tc>
          <w:tcPr>
            <w:tcW w:w="1551" w:type="dxa"/>
            <w:tcBorders>
              <w:left w:val="single" w:color="auto" w:sz="4" w:space="0"/>
            </w:tcBorders>
            <w:vAlign w:val="center"/>
          </w:tcPr>
          <w:p>
            <w:pPr>
              <w:spacing w:line="560" w:lineRule="exact"/>
              <w:jc w:val="center"/>
              <w:rPr>
                <w:rFonts w:ascii="仿宋" w:hAnsi="仿宋" w:eastAsia="仿宋" w:cs="仿宋"/>
              </w:rPr>
            </w:pPr>
            <w:r>
              <w:rPr>
                <w:rFonts w:ascii="仿宋" w:hAnsi="仿宋" w:eastAsia="仿宋" w:cs="仿宋"/>
              </w:rPr>
              <w:t>提供合同复印件</w:t>
            </w:r>
            <w:r>
              <w:rPr>
                <w:rFonts w:hint="eastAsia" w:ascii="仿宋" w:hAnsi="仿宋" w:eastAsia="仿宋" w:cs="仿宋"/>
              </w:rPr>
              <w:t>，</w:t>
            </w:r>
            <w:r>
              <w:rPr>
                <w:rFonts w:ascii="仿宋" w:hAnsi="仿宋" w:eastAsia="仿宋" w:cs="仿宋"/>
              </w:rPr>
              <w:t>加盖投标人鲜章</w:t>
            </w:r>
            <w:r>
              <w:rPr>
                <w:rFonts w:hint="eastAsia" w:ascii="仿宋" w:hAnsi="仿宋" w:eastAsia="仿宋" w:cs="仿宋"/>
              </w:rPr>
              <w:t>。</w:t>
            </w:r>
          </w:p>
        </w:tc>
      </w:tr>
    </w:tbl>
    <w:p>
      <w:pPr>
        <w:rPr>
          <w:rFonts w:ascii="仿宋" w:hAnsi="仿宋" w:eastAsia="仿宋" w:cs="仿宋"/>
        </w:rPr>
      </w:pPr>
    </w:p>
    <w:p>
      <w:pPr>
        <w:widowControl/>
        <w:spacing w:line="594" w:lineRule="exact"/>
        <w:ind w:firstLine="643" w:firstLineChars="200"/>
        <w:jc w:val="left"/>
        <w:rPr>
          <w:rFonts w:ascii="仿宋" w:hAnsi="仿宋" w:eastAsia="仿宋" w:cs="仿宋"/>
          <w:b/>
          <w:color w:val="000000"/>
          <w:kern w:val="0"/>
          <w:sz w:val="32"/>
          <w:szCs w:val="32"/>
        </w:rPr>
      </w:pPr>
      <w:bookmarkStart w:id="42" w:name="_Toc31745"/>
      <w:bookmarkStart w:id="43" w:name="_Toc493506301"/>
      <w:r>
        <w:rPr>
          <w:rFonts w:hint="eastAsia" w:ascii="仿宋" w:hAnsi="仿宋" w:eastAsia="仿宋" w:cs="仿宋"/>
          <w:b/>
          <w:color w:val="000000"/>
          <w:kern w:val="0"/>
          <w:sz w:val="32"/>
          <w:szCs w:val="32"/>
        </w:rPr>
        <w:t>十一、无效投标条款</w:t>
      </w:r>
      <w:bookmarkEnd w:id="42"/>
      <w:bookmarkEnd w:id="43"/>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投标人或其投标文件出现下列情况之一者，应为无效投标：</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（一）未按照招标文件的规定提交投标保证金的；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（二）投标文件未按招标文件要求签署、盖章的；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（三）不具备招标文件中规定的资格要求的；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 xml:space="preserve">（四）报价超过招标文件中规定的预算金额或者最高限价的； </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（五）投标文件含有采购人不能接受的附加条件的；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（六）投标人串通投标的；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（七）法律、法规和招标文件规定的其他无效情形。</w:t>
      </w:r>
    </w:p>
    <w:p>
      <w:pPr>
        <w:widowControl/>
        <w:spacing w:line="594" w:lineRule="exact"/>
        <w:ind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十二、定标</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采购人评标委员会按照评标报告中得分由高到低的顺序推荐综合得分排名前三的投标人为本项目的中标候选人，排名第一的为第一中标候选人。得分相同的，按投标报价由低到高顺序排列。得分且投标报价相同的由服务部分得分由高到低顺序排列。</w:t>
      </w:r>
    </w:p>
    <w:p>
      <w:pPr>
        <w:pStyle w:val="31"/>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（二）中标人变更</w:t>
      </w:r>
    </w:p>
    <w:p>
      <w:pPr>
        <w:pStyle w:val="31"/>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中标人拒绝与采购人签订合同的，采购人可以按照评标报告推荐的中标候选人顺序，确定排名下一位的候选人为中标人，也可以重新开展采购活动。</w:t>
      </w:r>
    </w:p>
    <w:p>
      <w:pPr>
        <w:widowControl/>
        <w:spacing w:line="594" w:lineRule="exact"/>
        <w:ind w:firstLine="640" w:firstLineChars="200"/>
        <w:jc w:val="left"/>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十三、投标人须知</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（一）投标人没有按照招标文件要求提供全部资料，或者投标人没有对招标文件在各方面作出实质性响应，可能导致投标被拒绝或评定为无效投标。</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（二）投标人提供虚假证明材料的经采购人核实，将会评定为无效投标。</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（三）签订合同前，采购人有权要求中标人提供投标文件中各类证明材料的原件，如中标人提供虚假证明材料的经采购人核实，采购人可取消其中标资格。</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（四）投标人有下列情形之一的，采购人可以不退还投标保证金：</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1、投标人在投标有效期撤回投标文件的；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2、投标人未按规定提交履约保证金的；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3、投标人在投标过程中弄虚作假，提供虚假材料的；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4、中标人无正当理由不与采购人签订合同的；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5、中标人将中标项目转让给他人或者在投标文件中未说明且未经采购人同意，将中标项目分包给他人的；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6、中标人拒绝履行合同义务的；</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7、其他严重扰乱招投标程序的。</w:t>
      </w:r>
    </w:p>
    <w:p>
      <w:pPr>
        <w:pStyle w:val="31"/>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（五）质疑</w:t>
      </w:r>
    </w:p>
    <w:p>
      <w:pPr>
        <w:adjustRightInd w:val="0"/>
        <w:snapToGrid w:val="0"/>
        <w:spacing w:line="594" w:lineRule="exact"/>
        <w:ind w:firstLine="640" w:firstLineChars="200"/>
        <w:jc w:val="left"/>
        <w:rPr>
          <w:rFonts w:ascii="仿宋" w:hAnsi="仿宋" w:eastAsia="仿宋" w:cs="仿宋"/>
          <w:color w:val="000000" w:themeColor="text1"/>
          <w:kern w:val="0"/>
          <w:sz w:val="32"/>
          <w:szCs w:val="32"/>
          <w14:textFill>
            <w14:solidFill>
              <w14:schemeClr w14:val="tx1"/>
            </w14:solidFill>
          </w14:textFill>
        </w:rPr>
      </w:pPr>
      <w:r>
        <w:rPr>
          <w:rFonts w:hint="eastAsia" w:ascii="仿宋" w:hAnsi="仿宋" w:eastAsia="仿宋" w:cs="仿宋"/>
          <w:kern w:val="0"/>
          <w:sz w:val="32"/>
          <w:szCs w:val="32"/>
        </w:rPr>
        <w:t>质疑人以书面形式提出质疑，本人或其授权代表持有效身证到</w:t>
      </w:r>
      <w:r>
        <w:rPr>
          <w:rFonts w:hint="eastAsia" w:ascii="仿宋" w:hAnsi="仿宋" w:eastAsia="仿宋" w:cs="仿宋"/>
          <w:color w:val="000000" w:themeColor="text1"/>
          <w:kern w:val="0"/>
          <w:sz w:val="32"/>
          <w:szCs w:val="32"/>
          <w14:textFill>
            <w14:solidFill>
              <w14:schemeClr w14:val="tx1"/>
            </w14:solidFill>
          </w14:textFill>
        </w:rPr>
        <w:t>质疑联系部门</w:t>
      </w:r>
      <w:r>
        <w:rPr>
          <w:rFonts w:hint="eastAsia" w:ascii="仿宋" w:hAnsi="仿宋" w:eastAsia="仿宋" w:cs="仿宋"/>
          <w:kern w:val="0"/>
          <w:sz w:val="32"/>
          <w:szCs w:val="32"/>
        </w:rPr>
        <w:t>现场递交质疑函原件。提出质疑的应当是参与所质疑项目采购活动的投标人。投标人对招标文件提出质疑的，</w:t>
      </w:r>
      <w:r>
        <w:rPr>
          <w:rFonts w:hint="eastAsia" w:ascii="仿宋" w:hAnsi="仿宋" w:eastAsia="仿宋" w:cs="仿宋"/>
          <w:color w:val="000000" w:themeColor="text1"/>
          <w:kern w:val="0"/>
          <w:sz w:val="32"/>
          <w:szCs w:val="32"/>
          <w:highlight w:val="none"/>
          <w14:textFill>
            <w14:solidFill>
              <w14:schemeClr w14:val="tx1"/>
            </w14:solidFill>
          </w14:textFill>
        </w:rPr>
        <w:t>应在</w:t>
      </w:r>
      <w:r>
        <w:rPr>
          <w:rFonts w:hint="eastAsia" w:ascii="仿宋" w:hAnsi="仿宋" w:eastAsia="仿宋" w:cs="仿宋"/>
          <w:kern w:val="0"/>
          <w:sz w:val="32"/>
          <w:szCs w:val="32"/>
          <w:highlight w:val="none"/>
        </w:rPr>
        <w:t>2024年1月</w:t>
      </w:r>
      <w:r>
        <w:rPr>
          <w:rFonts w:hint="eastAsia" w:ascii="仿宋" w:hAnsi="仿宋" w:eastAsia="仿宋" w:cs="仿宋"/>
          <w:kern w:val="0"/>
          <w:sz w:val="32"/>
          <w:szCs w:val="32"/>
          <w:highlight w:val="none"/>
          <w:lang w:val="en-US" w:eastAsia="zh-CN"/>
        </w:rPr>
        <w:t>8</w:t>
      </w:r>
      <w:r>
        <w:rPr>
          <w:rFonts w:hint="eastAsia" w:ascii="仿宋" w:hAnsi="仿宋" w:eastAsia="仿宋" w:cs="仿宋"/>
          <w:kern w:val="0"/>
          <w:sz w:val="32"/>
          <w:szCs w:val="32"/>
          <w:highlight w:val="none"/>
        </w:rPr>
        <w:t>日</w:t>
      </w:r>
      <w:r>
        <w:rPr>
          <w:rFonts w:hint="eastAsia" w:ascii="仿宋" w:hAnsi="仿宋" w:eastAsia="仿宋" w:cs="仿宋"/>
          <w:kern w:val="0"/>
          <w:sz w:val="32"/>
          <w:szCs w:val="32"/>
          <w:highlight w:val="none"/>
          <w:lang w:val="en-US" w:eastAsia="zh-CN"/>
        </w:rPr>
        <w:t>12</w:t>
      </w:r>
      <w:r>
        <w:rPr>
          <w:rFonts w:hint="eastAsia" w:ascii="仿宋" w:hAnsi="仿宋" w:eastAsia="仿宋" w:cs="仿宋"/>
          <w:kern w:val="0"/>
          <w:sz w:val="32"/>
          <w:szCs w:val="32"/>
          <w:highlight w:val="none"/>
        </w:rPr>
        <w:t>:00</w:t>
      </w:r>
      <w:r>
        <w:rPr>
          <w:rFonts w:hint="eastAsia" w:ascii="仿宋" w:hAnsi="仿宋" w:eastAsia="仿宋" w:cs="仿宋"/>
          <w:color w:val="000000" w:themeColor="text1"/>
          <w:kern w:val="0"/>
          <w:sz w:val="32"/>
          <w:szCs w:val="32"/>
          <w:highlight w:val="none"/>
          <w14:textFill>
            <w14:solidFill>
              <w14:schemeClr w14:val="tx1"/>
            </w14:solidFill>
          </w14:textFill>
        </w:rPr>
        <w:t>前</w:t>
      </w:r>
      <w:r>
        <w:rPr>
          <w:rFonts w:hint="eastAsia" w:ascii="仿宋" w:hAnsi="仿宋" w:eastAsia="仿宋" w:cs="仿宋"/>
          <w:color w:val="000000" w:themeColor="text1"/>
          <w:sz w:val="32"/>
          <w:szCs w:val="32"/>
          <w:highlight w:val="none"/>
          <w14:textFill>
            <w14:solidFill>
              <w14:schemeClr w14:val="tx1"/>
            </w14:solidFill>
          </w14:textFill>
        </w:rPr>
        <w:t>以书面形式</w:t>
      </w:r>
      <w:r>
        <w:rPr>
          <w:rFonts w:hint="eastAsia" w:ascii="仿宋" w:hAnsi="仿宋" w:eastAsia="仿宋" w:cs="仿宋"/>
          <w:color w:val="000000" w:themeColor="text1"/>
          <w:kern w:val="0"/>
          <w:sz w:val="32"/>
          <w:szCs w:val="32"/>
          <w:highlight w:val="none"/>
          <w14:textFill>
            <w14:solidFill>
              <w14:schemeClr w14:val="tx1"/>
            </w14:solidFill>
          </w14:textFill>
        </w:rPr>
        <w:t>递交。</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投标人提出质疑应当提交质疑函和必要的证明材料，质疑函应当包括下列内容：</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1、供应商的姓名或者名称、地址、邮编、联系人及联系电话；</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2、质疑项目的名称；</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3、具体、明确的质疑事项和与质疑事项相关的请求；</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4、事实依据；</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5、必要的法律依据；</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6、提出质疑的日期；</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7、营业执照（或事业单位法人证书，或个体工商户营业执照或有效的自然人身份证明）复印件；</w:t>
      </w:r>
    </w:p>
    <w:p>
      <w:pPr>
        <w:adjustRightInd w:val="0"/>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8、法定代表人授权委托书原件、法定代表人身份证复印件和其授权代表的身份证复印件（供应商为自然人的提供自然人身份证复印件）；</w:t>
      </w:r>
    </w:p>
    <w:p>
      <w:pPr>
        <w:snapToGrid w:val="0"/>
        <w:spacing w:line="594"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9、供应商为自然人的，质疑函应当由本人签字；供应商为法人或者其他组织的，质疑函应当由法定代表人、主要负责人，或者其授权代表签字或者盖章，并加盖公章。</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（六）质疑答复</w:t>
      </w:r>
    </w:p>
    <w:p>
      <w:pPr>
        <w:snapToGrid w:val="0"/>
        <w:spacing w:line="594" w:lineRule="exact"/>
        <w:ind w:firstLine="640" w:firstLineChars="200"/>
        <w:jc w:val="left"/>
        <w:rPr>
          <w:rFonts w:ascii="仿宋" w:hAnsi="仿宋" w:eastAsia="仿宋" w:cs="仿宋"/>
          <w:sz w:val="32"/>
          <w:szCs w:val="32"/>
        </w:rPr>
      </w:pPr>
      <w:r>
        <w:rPr>
          <w:rFonts w:hint="eastAsia" w:ascii="仿宋" w:hAnsi="仿宋" w:eastAsia="仿宋" w:cs="仿宋"/>
          <w:sz w:val="32"/>
          <w:szCs w:val="32"/>
        </w:rPr>
        <w:t>采购人应当在开标前作出答复，并以书面形式通知质疑投标人和其他有关投标人。</w:t>
      </w:r>
    </w:p>
    <w:p>
      <w:pPr>
        <w:adjustRightInd w:val="0"/>
        <w:snapToGrid w:val="0"/>
        <w:spacing w:line="594" w:lineRule="exact"/>
        <w:ind w:firstLine="640" w:firstLineChars="200"/>
        <w:jc w:val="left"/>
        <w:rPr>
          <w:rFonts w:ascii="仿宋" w:hAnsi="仿宋" w:eastAsia="仿宋" w:cs="仿宋"/>
          <w:kern w:val="0"/>
          <w:sz w:val="32"/>
          <w:szCs w:val="32"/>
        </w:rPr>
      </w:pPr>
    </w:p>
    <w:p>
      <w:pPr>
        <w:pStyle w:val="67"/>
        <w:spacing w:before="120" w:beforeLines="50" w:after="120" w:afterLines="50" w:line="554" w:lineRule="exact"/>
        <w:ind w:firstLine="640" w:firstLineChars="200"/>
        <w:rPr>
          <w:rFonts w:ascii="仿宋" w:hAnsi="仿宋" w:eastAsia="仿宋" w:cs="仿宋"/>
          <w:sz w:val="32"/>
          <w:szCs w:val="32"/>
        </w:rPr>
      </w:pPr>
      <w:r>
        <w:rPr>
          <w:rFonts w:hint="eastAsia" w:ascii="仿宋" w:hAnsi="仿宋" w:eastAsia="仿宋" w:cs="仿宋"/>
          <w:sz w:val="32"/>
          <w:szCs w:val="32"/>
        </w:rPr>
        <w:br w:type="page"/>
      </w:r>
    </w:p>
    <w:p>
      <w:pPr>
        <w:spacing w:line="594"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（一）开标一览表</w:t>
      </w:r>
    </w:p>
    <w:p>
      <w:pPr>
        <w:spacing w:line="594" w:lineRule="exact"/>
        <w:rPr>
          <w:rFonts w:ascii="仿宋" w:hAnsi="仿宋" w:eastAsia="仿宋" w:cs="仿宋"/>
          <w:sz w:val="32"/>
          <w:szCs w:val="32"/>
        </w:rPr>
      </w:pPr>
      <w:r>
        <w:rPr>
          <w:rFonts w:hint="eastAsia" w:ascii="仿宋" w:hAnsi="仿宋" w:eastAsia="仿宋" w:cs="仿宋"/>
          <w:sz w:val="32"/>
          <w:szCs w:val="32"/>
        </w:rPr>
        <w:t>招标项目名称：</w:t>
      </w:r>
    </w:p>
    <w:tbl>
      <w:tblPr>
        <w:tblStyle w:val="5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投标人名称</w:t>
            </w:r>
          </w:p>
        </w:tc>
        <w:tc>
          <w:tcPr>
            <w:tcW w:w="7542" w:type="dxa"/>
            <w:gridSpan w:val="2"/>
            <w:vAlign w:val="center"/>
          </w:tcPr>
          <w:p>
            <w:pPr>
              <w:spacing w:line="594" w:lineRule="exact"/>
              <w:ind w:firstLine="640" w:firstLineChars="200"/>
              <w:jc w:val="center"/>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序号</w:t>
            </w:r>
          </w:p>
        </w:tc>
        <w:tc>
          <w:tcPr>
            <w:tcW w:w="1985" w:type="dxa"/>
            <w:vAlign w:val="center"/>
          </w:tcPr>
          <w:p>
            <w:pPr>
              <w:spacing w:line="594"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项目名称</w:t>
            </w:r>
          </w:p>
        </w:tc>
        <w:tc>
          <w:tcPr>
            <w:tcW w:w="5557" w:type="dxa"/>
            <w:vAlign w:val="center"/>
          </w:tcPr>
          <w:p>
            <w:pPr>
              <w:spacing w:line="594" w:lineRule="exact"/>
              <w:jc w:val="center"/>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line="594" w:lineRule="exact"/>
              <w:ind w:firstLine="640" w:firstLineChars="200"/>
              <w:jc w:val="center"/>
              <w:rPr>
                <w:rFonts w:ascii="仿宋" w:hAnsi="仿宋" w:eastAsia="仿宋" w:cs="仿宋"/>
                <w:color w:val="000000" w:themeColor="text1"/>
                <w:sz w:val="32"/>
                <w:szCs w:val="32"/>
                <w14:textFill>
                  <w14:solidFill>
                    <w14:schemeClr w14:val="tx1"/>
                  </w14:solidFill>
                </w14:textFill>
              </w:rPr>
            </w:pPr>
          </w:p>
        </w:tc>
        <w:tc>
          <w:tcPr>
            <w:tcW w:w="1985" w:type="dxa"/>
            <w:tcBorders>
              <w:bottom w:val="single" w:color="auto" w:sz="4" w:space="0"/>
            </w:tcBorders>
          </w:tcPr>
          <w:p>
            <w:pPr>
              <w:spacing w:line="594" w:lineRule="exact"/>
              <w:ind w:firstLine="640" w:firstLineChars="200"/>
              <w:jc w:val="center"/>
              <w:rPr>
                <w:rFonts w:ascii="仿宋" w:hAnsi="仿宋" w:eastAsia="仿宋" w:cs="仿宋"/>
                <w:color w:val="000000" w:themeColor="text1"/>
                <w:sz w:val="32"/>
                <w:szCs w:val="32"/>
                <w14:textFill>
                  <w14:solidFill>
                    <w14:schemeClr w14:val="tx1"/>
                  </w14:solidFill>
                </w14:textFill>
              </w:rPr>
            </w:pPr>
          </w:p>
        </w:tc>
        <w:tc>
          <w:tcPr>
            <w:tcW w:w="5557" w:type="dxa"/>
            <w:tcBorders>
              <w:bottom w:val="single" w:color="auto" w:sz="4" w:space="0"/>
            </w:tcBorders>
          </w:tcPr>
          <w:p>
            <w:pPr>
              <w:spacing w:line="594" w:lineRule="exact"/>
              <w:ind w:firstLine="640" w:firstLineChars="200"/>
              <w:rPr>
                <w:rFonts w:ascii="仿宋" w:hAnsi="仿宋" w:eastAsia="仿宋" w:cs="仿宋"/>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493" w:type="dxa"/>
            <w:gridSpan w:val="3"/>
            <w:tcBorders>
              <w:bottom w:val="single" w:color="auto" w:sz="4" w:space="0"/>
            </w:tcBorders>
            <w:vAlign w:val="center"/>
          </w:tcPr>
          <w:p>
            <w:pPr>
              <w:spacing w:line="594"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493" w:type="dxa"/>
            <w:gridSpan w:val="3"/>
            <w:vAlign w:val="center"/>
          </w:tcPr>
          <w:p>
            <w:pPr>
              <w:spacing w:line="594"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xml:space="preserve">备注： </w:t>
            </w:r>
          </w:p>
        </w:tc>
      </w:tr>
    </w:tbl>
    <w:p>
      <w:pPr>
        <w:spacing w:line="594" w:lineRule="exact"/>
        <w:ind w:firstLine="640" w:firstLineChars="200"/>
        <w:rPr>
          <w:rFonts w:ascii="仿宋" w:hAnsi="仿宋" w:eastAsia="仿宋" w:cs="仿宋"/>
          <w:sz w:val="32"/>
          <w:szCs w:val="32"/>
        </w:rPr>
      </w:pPr>
    </w:p>
    <w:p>
      <w:pPr>
        <w:spacing w:line="594" w:lineRule="exact"/>
        <w:ind w:firstLine="640" w:firstLineChars="200"/>
        <w:rPr>
          <w:rFonts w:ascii="仿宋" w:hAnsi="仿宋" w:eastAsia="仿宋" w:cs="仿宋"/>
          <w:sz w:val="32"/>
          <w:szCs w:val="32"/>
        </w:rPr>
      </w:pP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投标人：                    法定代表人/授权代表：</w:t>
      </w:r>
    </w:p>
    <w:p>
      <w:pPr>
        <w:spacing w:line="594" w:lineRule="exact"/>
        <w:rPr>
          <w:rFonts w:ascii="仿宋" w:hAnsi="仿宋" w:eastAsia="仿宋" w:cs="仿宋"/>
          <w:sz w:val="32"/>
          <w:szCs w:val="32"/>
        </w:rPr>
      </w:pPr>
      <w:r>
        <w:rPr>
          <w:rFonts w:hint="eastAsia" w:ascii="仿宋" w:hAnsi="仿宋" w:eastAsia="仿宋" w:cs="仿宋"/>
          <w:sz w:val="32"/>
          <w:szCs w:val="32"/>
        </w:rPr>
        <w:t xml:space="preserve">（投标人公章）                     （签字或盖章）                                    </w:t>
      </w:r>
    </w:p>
    <w:p>
      <w:pPr>
        <w:spacing w:line="594" w:lineRule="exact"/>
        <w:ind w:firstLine="640" w:firstLineChars="200"/>
        <w:rPr>
          <w:rFonts w:ascii="仿宋" w:hAnsi="仿宋" w:eastAsia="仿宋" w:cs="仿宋"/>
          <w:sz w:val="32"/>
          <w:szCs w:val="32"/>
        </w:rPr>
      </w:pPr>
    </w:p>
    <w:p>
      <w:pPr>
        <w:spacing w:line="594" w:lineRule="exact"/>
        <w:ind w:firstLine="640" w:firstLineChars="200"/>
        <w:rPr>
          <w:rFonts w:ascii="仿宋" w:hAnsi="仿宋" w:eastAsia="仿宋" w:cs="仿宋"/>
          <w:sz w:val="32"/>
          <w:szCs w:val="32"/>
        </w:rPr>
      </w:pP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年    月    日</w:t>
      </w:r>
    </w:p>
    <w:p>
      <w:pPr>
        <w:snapToGrid w:val="0"/>
        <w:spacing w:line="594" w:lineRule="exact"/>
        <w:ind w:firstLine="640" w:firstLineChars="200"/>
        <w:rPr>
          <w:rFonts w:ascii="仿宋" w:hAnsi="仿宋" w:eastAsia="仿宋" w:cs="仿宋"/>
          <w:sz w:val="32"/>
          <w:szCs w:val="32"/>
        </w:rPr>
      </w:pPr>
    </w:p>
    <w:p>
      <w:pPr>
        <w:snapToGrid w:val="0"/>
        <w:spacing w:line="594" w:lineRule="exact"/>
        <w:ind w:firstLine="640" w:firstLineChars="200"/>
        <w:rPr>
          <w:rFonts w:ascii="仿宋" w:hAnsi="仿宋" w:eastAsia="仿宋" w:cs="仿宋"/>
          <w:sz w:val="32"/>
          <w:szCs w:val="32"/>
        </w:rPr>
      </w:pPr>
    </w:p>
    <w:p>
      <w:pPr>
        <w:snapToGrid w:val="0"/>
        <w:spacing w:line="594" w:lineRule="exact"/>
        <w:ind w:firstLine="640" w:firstLineChars="200"/>
        <w:rPr>
          <w:rFonts w:ascii="仿宋" w:hAnsi="仿宋" w:eastAsia="仿宋" w:cs="仿宋"/>
          <w:sz w:val="32"/>
          <w:szCs w:val="32"/>
        </w:rPr>
      </w:pP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说明：</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1.开标一览表按格式填列；</w:t>
      </w:r>
    </w:p>
    <w:p>
      <w:pPr>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2.开标一览表在开标大会上当众宣读，务必填写清楚，准确无误。</w:t>
      </w:r>
    </w:p>
    <w:p>
      <w:pPr>
        <w:pStyle w:val="2"/>
        <w:spacing w:after="0" w:line="594" w:lineRule="exact"/>
        <w:ind w:firstLine="640"/>
        <w:rPr>
          <w:rFonts w:ascii="仿宋" w:hAnsi="仿宋" w:eastAsia="仿宋" w:cs="仿宋"/>
          <w:sz w:val="32"/>
          <w:szCs w:val="32"/>
        </w:rPr>
      </w:pPr>
      <w:r>
        <w:rPr>
          <w:rFonts w:hint="eastAsia" w:ascii="仿宋" w:hAnsi="仿宋" w:eastAsia="仿宋" w:cs="仿宋"/>
          <w:sz w:val="32"/>
          <w:szCs w:val="32"/>
        </w:rPr>
        <w:br w:type="page"/>
      </w:r>
    </w:p>
    <w:p>
      <w:pPr>
        <w:snapToGrid w:val="0"/>
        <w:spacing w:before="120" w:beforeLines="50" w:line="594"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（二）投标函（格式）</w:t>
      </w:r>
    </w:p>
    <w:p>
      <w:pPr>
        <w:spacing w:line="594" w:lineRule="exact"/>
        <w:rPr>
          <w:rFonts w:ascii="仿宋" w:hAnsi="仿宋" w:eastAsia="仿宋" w:cs="仿宋"/>
          <w:sz w:val="32"/>
          <w:szCs w:val="32"/>
        </w:rPr>
      </w:pPr>
    </w:p>
    <w:p>
      <w:pPr>
        <w:spacing w:line="52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招标项目名称：</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致：（采购人名称）：</w:t>
      </w:r>
    </w:p>
    <w:p>
      <w:pPr>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（投标人名称）系中华人民共和国合法企业，注册地址：。我方就参加本次投标有关事项郑重声明如下：</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一、我方完全理解并接受该项目招标文件所有要求。</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二、我方提交的所有投标文件、资料都是准确和真实的，如有虚假或隐瞒，我方愿意承担一切法律责任。</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三、我方承诺按照招标文件要求，提供招标项目的技术（质量）服务。</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四、我方按招标文件要求提交的投标文件为：投标文件正本1份，副本  份。</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五、我方承诺：本次投标的投标有效期为投标截止时间起90天。</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六、我方投标报价为闭口价。即在投标有效期和合同有效期内，该报价固定不变。</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八、我方未为采购项目提供整体设计、规范编制或者项目管理、监理、检测等服务。</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九、我方理解，最低报价不是中标的唯一条件。</w:t>
      </w:r>
    </w:p>
    <w:p>
      <w:pPr>
        <w:tabs>
          <w:tab w:val="left" w:pos="6300"/>
        </w:tabs>
        <w:snapToGrid w:val="0"/>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十、我方同意按有关规定及招标文件要求，交纳足额投标保证金。</w:t>
      </w:r>
    </w:p>
    <w:p>
      <w:pPr>
        <w:tabs>
          <w:tab w:val="left" w:pos="6300"/>
        </w:tabs>
        <w:snapToGrid w:val="0"/>
        <w:spacing w:line="520" w:lineRule="exact"/>
        <w:ind w:firstLine="640" w:firstLineChars="200"/>
        <w:rPr>
          <w:rFonts w:ascii="仿宋" w:hAnsi="仿宋" w:eastAsia="仿宋" w:cs="仿宋"/>
          <w:sz w:val="32"/>
          <w:szCs w:val="32"/>
        </w:rPr>
      </w:pPr>
    </w:p>
    <w:p>
      <w:pPr>
        <w:tabs>
          <w:tab w:val="left" w:pos="6300"/>
        </w:tabs>
        <w:snapToGrid w:val="0"/>
        <w:spacing w:line="520" w:lineRule="exact"/>
        <w:ind w:firstLine="4480" w:firstLineChars="1400"/>
        <w:rPr>
          <w:rFonts w:ascii="仿宋" w:hAnsi="仿宋" w:eastAsia="仿宋" w:cs="仿宋"/>
          <w:sz w:val="32"/>
          <w:szCs w:val="32"/>
        </w:rPr>
      </w:pPr>
      <w:r>
        <w:rPr>
          <w:rFonts w:hint="eastAsia" w:ascii="仿宋" w:hAnsi="仿宋" w:eastAsia="仿宋" w:cs="仿宋"/>
          <w:sz w:val="32"/>
          <w:szCs w:val="32"/>
        </w:rPr>
        <w:t>（投标人公章或自然人签署）</w:t>
      </w:r>
    </w:p>
    <w:p>
      <w:pPr>
        <w:tabs>
          <w:tab w:val="left" w:pos="6300"/>
        </w:tabs>
        <w:snapToGrid w:val="0"/>
        <w:spacing w:line="520" w:lineRule="exact"/>
        <w:ind w:firstLine="5440" w:firstLineChars="1700"/>
        <w:rPr>
          <w:rFonts w:ascii="仿宋" w:hAnsi="仿宋" w:eastAsia="仿宋" w:cs="仿宋"/>
          <w:sz w:val="32"/>
          <w:szCs w:val="32"/>
        </w:rPr>
      </w:pPr>
      <w:r>
        <w:rPr>
          <w:rFonts w:hint="eastAsia" w:ascii="仿宋" w:hAnsi="仿宋" w:eastAsia="仿宋" w:cs="仿宋"/>
          <w:sz w:val="32"/>
          <w:szCs w:val="32"/>
        </w:rPr>
        <w:t>年    月   日</w:t>
      </w:r>
    </w:p>
    <w:p>
      <w:pPr>
        <w:widowControl/>
        <w:spacing w:line="594"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（三）法定代表人身份证明书（格式）</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招标项目名称：</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致：（采购人名称）：</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（法定代表人姓名）在（投标人名称）任（职务名称）职务，是（投标人名称）的法定代表人。</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特此证明。</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投标人：</w:t>
      </w:r>
    </w:p>
    <w:p>
      <w:pPr>
        <w:tabs>
          <w:tab w:val="left" w:pos="6300"/>
        </w:tabs>
        <w:snapToGrid w:val="0"/>
        <w:spacing w:line="594" w:lineRule="exact"/>
        <w:ind w:firstLine="5120" w:firstLineChars="1600"/>
        <w:rPr>
          <w:rFonts w:ascii="仿宋" w:hAnsi="仿宋" w:eastAsia="仿宋" w:cs="仿宋"/>
          <w:sz w:val="32"/>
          <w:szCs w:val="32"/>
        </w:rPr>
      </w:pPr>
      <w:r>
        <w:rPr>
          <w:rFonts w:hint="eastAsia" w:ascii="仿宋" w:hAnsi="仿宋" w:eastAsia="仿宋" w:cs="仿宋"/>
          <w:sz w:val="32"/>
          <w:szCs w:val="32"/>
        </w:rPr>
        <w:t>（投标人公章）</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年   月   日</w:t>
      </w:r>
    </w:p>
    <w:p>
      <w:pPr>
        <w:pStyle w:val="2"/>
        <w:ind w:firstLine="880"/>
        <w:rPr>
          <w:rFonts w:ascii="仿宋" w:hAnsi="仿宋" w:eastAsia="仿宋" w:cs="仿宋"/>
        </w:rPr>
      </w:pP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法定代表人电话：XXXXXXX      电子邮箱：XXXXXX@XXXXX（若授权他人办理并签署投标文件的可不填写）</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（附：法定代表人身份证正反面复印件）</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br w:type="column"/>
      </w:r>
      <w:r>
        <w:rPr>
          <w:rFonts w:hint="eastAsia" w:ascii="仿宋" w:hAnsi="仿宋" w:eastAsia="仿宋" w:cs="仿宋"/>
          <w:sz w:val="32"/>
          <w:szCs w:val="32"/>
        </w:rPr>
        <w:t>（四）法定代表人授权委托书（格式）</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招标项目名称：</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致：（采购人名称）：</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（投标人法定代表人名称）是（投标人名称）的法定代表人，特授权（被授权人姓名及身份证代码）代表我单位全权办理上述项目的投标、谈判、签约等具体工作，并签署全部有关文件、协议及合同。</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我单位对被授权人的签署负全部责任。</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在撤消授权的书面通知以前，本授权书一直有效。被授权人在授权书有效期内签署的所有文件不因授权的撤消而失效。</w:t>
      </w:r>
    </w:p>
    <w:p>
      <w:pPr>
        <w:tabs>
          <w:tab w:val="left" w:pos="6300"/>
        </w:tabs>
        <w:snapToGrid w:val="0"/>
        <w:spacing w:line="594" w:lineRule="exact"/>
        <w:ind w:firstLine="640" w:firstLineChars="200"/>
        <w:rPr>
          <w:rFonts w:ascii="仿宋" w:hAnsi="仿宋" w:eastAsia="仿宋" w:cs="仿宋"/>
          <w:sz w:val="32"/>
          <w:szCs w:val="32"/>
        </w:rPr>
      </w:pPr>
    </w:p>
    <w:p>
      <w:pPr>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投标人：                    法定代表人/授权代表：</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（投标人公章）                     （签字或盖章）     </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（附：被授权人身份证正反面复印件）</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right="1120" w:firstLine="640" w:firstLineChars="200"/>
        <w:jc w:val="right"/>
        <w:rPr>
          <w:rFonts w:ascii="仿宋" w:hAnsi="仿宋" w:eastAsia="仿宋" w:cs="仿宋"/>
          <w:sz w:val="32"/>
          <w:szCs w:val="32"/>
        </w:rPr>
      </w:pPr>
      <w:r>
        <w:rPr>
          <w:rFonts w:hint="eastAsia" w:ascii="仿宋" w:hAnsi="仿宋" w:eastAsia="仿宋" w:cs="仿宋"/>
          <w:sz w:val="32"/>
          <w:szCs w:val="32"/>
        </w:rPr>
        <w:t>（投标人公章）</w:t>
      </w:r>
    </w:p>
    <w:p>
      <w:pPr>
        <w:tabs>
          <w:tab w:val="left" w:pos="6300"/>
        </w:tabs>
        <w:snapToGrid w:val="0"/>
        <w:spacing w:line="594" w:lineRule="exact"/>
        <w:ind w:right="1120" w:firstLine="640" w:firstLineChars="200"/>
        <w:jc w:val="right"/>
        <w:rPr>
          <w:rFonts w:ascii="仿宋" w:hAnsi="仿宋" w:eastAsia="仿宋" w:cs="仿宋"/>
          <w:sz w:val="32"/>
          <w:szCs w:val="32"/>
        </w:rPr>
      </w:pPr>
      <w:r>
        <w:rPr>
          <w:rFonts w:hint="eastAsia" w:ascii="仿宋" w:hAnsi="仿宋" w:eastAsia="仿宋" w:cs="仿宋"/>
          <w:sz w:val="32"/>
          <w:szCs w:val="32"/>
        </w:rPr>
        <w:t>年   月   日</w:t>
      </w:r>
    </w:p>
    <w:p>
      <w:pPr>
        <w:tabs>
          <w:tab w:val="left" w:pos="6300"/>
        </w:tabs>
        <w:snapToGrid w:val="0"/>
        <w:spacing w:line="594" w:lineRule="exact"/>
        <w:ind w:right="720" w:firstLine="640" w:firstLineChars="200"/>
        <w:jc w:val="right"/>
        <w:rPr>
          <w:rFonts w:ascii="仿宋" w:hAnsi="仿宋" w:eastAsia="仿宋" w:cs="仿宋"/>
          <w:sz w:val="32"/>
          <w:szCs w:val="32"/>
        </w:rPr>
      </w:pPr>
    </w:p>
    <w:p>
      <w:pPr>
        <w:tabs>
          <w:tab w:val="left" w:pos="6300"/>
        </w:tabs>
        <w:snapToGrid w:val="0"/>
        <w:spacing w:line="594" w:lineRule="exact"/>
        <w:ind w:right="480" w:firstLine="640" w:firstLineChars="200"/>
        <w:jc w:val="left"/>
        <w:rPr>
          <w:rFonts w:ascii="仿宋" w:hAnsi="仿宋" w:eastAsia="仿宋" w:cs="仿宋"/>
          <w:sz w:val="32"/>
          <w:szCs w:val="32"/>
        </w:rPr>
      </w:pPr>
      <w:r>
        <w:rPr>
          <w:rFonts w:hint="eastAsia" w:ascii="仿宋" w:hAnsi="仿宋" w:eastAsia="仿宋" w:cs="仿宋"/>
          <w:sz w:val="32"/>
          <w:szCs w:val="32"/>
        </w:rPr>
        <w:t>被授权人电话：XXXXXXX     电子邮箱：XXXXXX@XXXXX（若法定代表人办理并签署投标文件的可不填写）</w:t>
      </w:r>
    </w:p>
    <w:p>
      <w:pPr>
        <w:tabs>
          <w:tab w:val="left" w:pos="6300"/>
        </w:tabs>
        <w:snapToGrid w:val="0"/>
        <w:spacing w:line="594" w:lineRule="exact"/>
        <w:ind w:right="480"/>
        <w:jc w:val="left"/>
        <w:rPr>
          <w:rFonts w:ascii="仿宋" w:hAnsi="仿宋" w:eastAsia="仿宋" w:cs="仿宋"/>
          <w:sz w:val="32"/>
          <w:szCs w:val="32"/>
        </w:rPr>
      </w:pPr>
      <w:r>
        <w:rPr>
          <w:rFonts w:hint="eastAsia" w:ascii="仿宋" w:hAnsi="仿宋" w:eastAsia="仿宋" w:cs="仿宋"/>
          <w:sz w:val="32"/>
          <w:szCs w:val="32"/>
        </w:rPr>
        <w:t>注：1.若为法定代表人办理并签署投标文件的，不提供此文件。</w:t>
      </w:r>
    </w:p>
    <w:p>
      <w:pPr>
        <w:tabs>
          <w:tab w:val="left" w:pos="6300"/>
        </w:tabs>
        <w:snapToGrid w:val="0"/>
        <w:spacing w:line="594" w:lineRule="exact"/>
        <w:ind w:right="480" w:firstLine="640" w:firstLineChars="200"/>
        <w:jc w:val="left"/>
        <w:rPr>
          <w:rFonts w:ascii="仿宋" w:hAnsi="仿宋" w:eastAsia="仿宋" w:cs="仿宋"/>
          <w:sz w:val="32"/>
          <w:szCs w:val="32"/>
        </w:rPr>
      </w:pPr>
      <w:r>
        <w:rPr>
          <w:rFonts w:hint="eastAsia" w:ascii="仿宋" w:hAnsi="仿宋" w:eastAsia="仿宋" w:cs="仿宋"/>
          <w:sz w:val="32"/>
          <w:szCs w:val="32"/>
        </w:rPr>
        <w:t>2.若为联合体投标的，法定代表人授权委托书由联合体主办方</w:t>
      </w:r>
      <w:r>
        <w:rPr>
          <w:rFonts w:hint="eastAsia" w:ascii="仿宋" w:hAnsi="仿宋" w:eastAsia="仿宋" w:cs="仿宋"/>
          <w:kern w:val="0"/>
          <w:sz w:val="32"/>
          <w:szCs w:val="32"/>
        </w:rPr>
        <w:t>（主体）</w:t>
      </w:r>
      <w:r>
        <w:rPr>
          <w:rFonts w:hint="eastAsia" w:ascii="仿宋" w:hAnsi="仿宋" w:eastAsia="仿宋" w:cs="仿宋"/>
          <w:sz w:val="32"/>
          <w:szCs w:val="32"/>
        </w:rPr>
        <w:t>出具。</w:t>
      </w:r>
    </w:p>
    <w:p>
      <w:pPr>
        <w:tabs>
          <w:tab w:val="left" w:pos="6300"/>
        </w:tabs>
        <w:snapToGrid w:val="0"/>
        <w:spacing w:line="594"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br w:type="column"/>
      </w:r>
      <w:r>
        <w:rPr>
          <w:rFonts w:hint="eastAsia" w:ascii="仿宋" w:hAnsi="仿宋" w:eastAsia="仿宋" w:cs="仿宋"/>
          <w:sz w:val="32"/>
          <w:szCs w:val="32"/>
        </w:rPr>
        <w:t>（五）基本资格条件承诺函（格式）</w:t>
      </w:r>
    </w:p>
    <w:p>
      <w:pPr>
        <w:tabs>
          <w:tab w:val="left" w:pos="6300"/>
        </w:tabs>
        <w:snapToGrid w:val="0"/>
        <w:spacing w:line="594" w:lineRule="exact"/>
        <w:ind w:firstLine="640" w:firstLineChars="200"/>
        <w:jc w:val="center"/>
        <w:rPr>
          <w:rFonts w:ascii="仿宋" w:hAnsi="仿宋" w:eastAsia="仿宋" w:cs="仿宋"/>
          <w:sz w:val="32"/>
          <w:szCs w:val="32"/>
        </w:rPr>
      </w:pPr>
    </w:p>
    <w:p>
      <w:pPr>
        <w:tabs>
          <w:tab w:val="left" w:pos="6300"/>
        </w:tabs>
        <w:snapToGrid w:val="0"/>
        <w:spacing w:line="594"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基本资格条件承诺函</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致（采购人名称）：</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（投标人名称）郑重承诺：</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1.我方具有良好的商业信誉和健全的财务会计制度，具有履行合同所必需的设备和专业技术能力，具</w:t>
      </w:r>
      <w:r>
        <w:rPr>
          <w:rFonts w:hint="eastAsia" w:ascii="仿宋" w:hAnsi="仿宋" w:eastAsia="仿宋" w:cs="仿宋"/>
          <w:sz w:val="32"/>
          <w:szCs w:val="32"/>
          <w:lang w:val="zh-CN"/>
        </w:rPr>
        <w:t>有依法缴纳税收和社会保障金的良好记录</w:t>
      </w:r>
      <w:r>
        <w:rPr>
          <w:rFonts w:hint="eastAsia" w:ascii="仿宋" w:hAnsi="仿宋" w:eastAsia="仿宋" w:cs="仿宋"/>
          <w:sz w:val="32"/>
          <w:szCs w:val="32"/>
        </w:rPr>
        <w:t>，参加本项目采购活动前三年内无重大违法活动记录。</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3.我方在采购项目评审（评标）环节结束后，随时接受采购人的检查验证，配合提供相关证明材料，证明符合《中华人民共和国政府采购法》规定的投标人基本资格条件。</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我方对以上承诺负全部法律责任。</w:t>
      </w:r>
    </w:p>
    <w:p>
      <w:pPr>
        <w:tabs>
          <w:tab w:val="left" w:pos="6300"/>
        </w:tabs>
        <w:snapToGrid w:val="0"/>
        <w:spacing w:line="594" w:lineRule="exact"/>
        <w:ind w:firstLine="640" w:firstLineChars="200"/>
        <w:rPr>
          <w:rFonts w:ascii="仿宋" w:hAnsi="仿宋" w:eastAsia="仿宋" w:cs="仿宋"/>
          <w:sz w:val="32"/>
          <w:szCs w:val="32"/>
        </w:rPr>
      </w:pPr>
      <w:r>
        <w:rPr>
          <w:rFonts w:hint="eastAsia" w:ascii="仿宋" w:hAnsi="仿宋" w:eastAsia="仿宋" w:cs="仿宋"/>
          <w:sz w:val="32"/>
          <w:szCs w:val="32"/>
        </w:rPr>
        <w:t>特此承诺。</w:t>
      </w:r>
    </w:p>
    <w:p>
      <w:pPr>
        <w:tabs>
          <w:tab w:val="left" w:pos="6300"/>
        </w:tabs>
        <w:snapToGrid w:val="0"/>
        <w:spacing w:line="594" w:lineRule="exact"/>
        <w:ind w:firstLine="640" w:firstLineChars="200"/>
        <w:rPr>
          <w:rFonts w:ascii="仿宋" w:hAnsi="仿宋" w:eastAsia="仿宋" w:cs="仿宋"/>
          <w:sz w:val="32"/>
          <w:szCs w:val="32"/>
        </w:rPr>
      </w:pPr>
    </w:p>
    <w:p>
      <w:pPr>
        <w:tabs>
          <w:tab w:val="left" w:pos="6300"/>
        </w:tabs>
        <w:snapToGrid w:val="0"/>
        <w:spacing w:line="594" w:lineRule="exact"/>
        <w:ind w:right="1280"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（投标人公章）</w:t>
      </w:r>
    </w:p>
    <w:p>
      <w:pPr>
        <w:tabs>
          <w:tab w:val="left" w:pos="6300"/>
        </w:tabs>
        <w:snapToGrid w:val="0"/>
        <w:spacing w:line="594" w:lineRule="exact"/>
        <w:ind w:right="1280" w:firstLine="640" w:firstLineChars="200"/>
        <w:jc w:val="right"/>
        <w:rPr>
          <w:rFonts w:ascii="仿宋" w:hAnsi="仿宋" w:eastAsia="仿宋" w:cs="仿宋"/>
          <w:sz w:val="32"/>
          <w:szCs w:val="32"/>
        </w:rPr>
      </w:pPr>
      <w:r>
        <w:rPr>
          <w:rFonts w:hint="eastAsia" w:ascii="仿宋" w:hAnsi="仿宋" w:eastAsia="仿宋" w:cs="仿宋"/>
          <w:sz w:val="32"/>
          <w:szCs w:val="32"/>
        </w:rPr>
        <w:t>年   月   日</w:t>
      </w:r>
    </w:p>
    <w:p>
      <w:pPr>
        <w:tabs>
          <w:tab w:val="left" w:pos="6300"/>
        </w:tabs>
        <w:snapToGrid w:val="0"/>
        <w:spacing w:line="594" w:lineRule="exact"/>
        <w:ind w:left="420" w:leftChars="200" w:firstLine="640" w:firstLineChars="200"/>
        <w:jc w:val="left"/>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（六）特定资格条件证书或证明文件</w:t>
      </w:r>
    </w:p>
    <w:p>
      <w:pPr>
        <w:tabs>
          <w:tab w:val="left" w:pos="6300"/>
        </w:tabs>
        <w:snapToGrid w:val="0"/>
        <w:spacing w:line="594" w:lineRule="exact"/>
        <w:ind w:left="420" w:leftChars="200" w:firstLine="640" w:firstLineChars="200"/>
        <w:jc w:val="left"/>
        <w:rPr>
          <w:rFonts w:ascii="仿宋" w:hAnsi="仿宋" w:eastAsia="仿宋" w:cs="仿宋"/>
          <w:sz w:val="32"/>
          <w:szCs w:val="32"/>
        </w:rPr>
      </w:pPr>
    </w:p>
    <w:p>
      <w:pPr>
        <w:pStyle w:val="24"/>
        <w:spacing w:line="594" w:lineRule="exact"/>
        <w:ind w:firstLine="640" w:firstLineChars="200"/>
        <w:rPr>
          <w:rFonts w:ascii="仿宋" w:hAnsi="仿宋" w:eastAsia="仿宋" w:cs="仿宋"/>
          <w:szCs w:val="32"/>
        </w:rPr>
      </w:pPr>
    </w:p>
    <w:p>
      <w:pPr>
        <w:pStyle w:val="24"/>
        <w:spacing w:line="594" w:lineRule="exact"/>
        <w:ind w:firstLine="640" w:firstLineChars="200"/>
        <w:rPr>
          <w:rFonts w:ascii="仿宋" w:hAnsi="仿宋" w:eastAsia="仿宋" w:cs="仿宋"/>
          <w:szCs w:val="32"/>
        </w:rPr>
      </w:pPr>
    </w:p>
    <w:p>
      <w:pPr>
        <w:pStyle w:val="256"/>
        <w:wordWrap/>
        <w:spacing w:before="0" w:after="0" w:line="594" w:lineRule="exact"/>
        <w:ind w:left="1320" w:firstLine="640" w:firstLineChars="200"/>
        <w:rPr>
          <w:rFonts w:ascii="仿宋" w:hAnsi="仿宋" w:eastAsia="仿宋" w:cs="仿宋"/>
          <w:sz w:val="32"/>
          <w:szCs w:val="32"/>
        </w:rPr>
      </w:pPr>
    </w:p>
    <w:p>
      <w:pPr>
        <w:spacing w:line="594" w:lineRule="exact"/>
        <w:ind w:firstLine="640" w:firstLineChars="200"/>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tabs>
          <w:tab w:val="left" w:pos="6300"/>
        </w:tabs>
        <w:snapToGrid w:val="0"/>
        <w:spacing w:line="594" w:lineRule="exact"/>
        <w:ind w:firstLine="640" w:firstLineChars="200"/>
        <w:jc w:val="left"/>
        <w:rPr>
          <w:rFonts w:ascii="仿宋" w:hAnsi="仿宋" w:eastAsia="仿宋" w:cs="仿宋"/>
          <w:sz w:val="32"/>
          <w:szCs w:val="32"/>
        </w:rPr>
      </w:pPr>
    </w:p>
    <w:p>
      <w:pPr>
        <w:pStyle w:val="2"/>
        <w:ind w:firstLine="880"/>
        <w:rPr>
          <w:rFonts w:ascii="仿宋" w:hAnsi="仿宋" w:eastAsia="仿宋" w:cs="仿宋"/>
        </w:rPr>
      </w:pPr>
    </w:p>
    <w:p>
      <w:pPr>
        <w:pStyle w:val="2"/>
        <w:ind w:firstLine="880"/>
        <w:rPr>
          <w:rFonts w:ascii="仿宋" w:hAnsi="仿宋" w:eastAsia="仿宋" w:cs="仿宋"/>
        </w:rPr>
      </w:pPr>
    </w:p>
    <w:p>
      <w:pPr>
        <w:pStyle w:val="2"/>
        <w:ind w:firstLine="880"/>
        <w:rPr>
          <w:rFonts w:ascii="仿宋" w:hAnsi="仿宋" w:eastAsia="仿宋" w:cs="仿宋"/>
        </w:rPr>
      </w:pPr>
    </w:p>
    <w:p>
      <w:pPr>
        <w:pStyle w:val="2"/>
        <w:ind w:firstLine="880"/>
        <w:rPr>
          <w:rFonts w:ascii="仿宋" w:hAnsi="仿宋" w:eastAsia="仿宋" w:cs="仿宋"/>
        </w:rPr>
      </w:pPr>
    </w:p>
    <w:p>
      <w:pPr>
        <w:tabs>
          <w:tab w:val="left" w:pos="6300"/>
        </w:tabs>
        <w:snapToGrid w:val="0"/>
        <w:spacing w:line="594" w:lineRule="exact"/>
        <w:ind w:left="420" w:leftChars="200" w:firstLine="2560" w:firstLineChars="800"/>
        <w:rPr>
          <w:rFonts w:ascii="仿宋" w:hAnsi="仿宋" w:eastAsia="仿宋" w:cs="仿宋"/>
          <w:sz w:val="32"/>
          <w:szCs w:val="32"/>
        </w:rPr>
      </w:pPr>
      <w:r>
        <w:rPr>
          <w:rFonts w:hint="eastAsia" w:ascii="仿宋" w:hAnsi="仿宋" w:eastAsia="仿宋" w:cs="仿宋"/>
          <w:sz w:val="32"/>
          <w:szCs w:val="32"/>
        </w:rPr>
        <w:t>（七）其他材料</w:t>
      </w: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pStyle w:val="2"/>
        <w:ind w:firstLine="880"/>
      </w:pP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p>
    <w:p>
      <w:pPr>
        <w:pStyle w:val="6"/>
        <w:rPr>
          <w:rFonts w:ascii="宋体" w:hAnsi="宋体" w:cs="宋体"/>
          <w:b w:val="0"/>
          <w:sz w:val="28"/>
          <w:szCs w:val="28"/>
        </w:rPr>
      </w:pPr>
      <w:r>
        <w:rPr>
          <w:rFonts w:hint="eastAsia" w:ascii="宋体" w:hAnsi="宋体" w:cs="宋体"/>
          <w:sz w:val="28"/>
          <w:szCs w:val="28"/>
        </w:rPr>
        <w:t>附件：</w:t>
      </w:r>
      <w:r>
        <w:rPr>
          <w:rFonts w:hint="eastAsia" w:ascii="宋体" w:hAnsi="宋体" w:cs="宋体"/>
          <w:b w:val="0"/>
          <w:sz w:val="28"/>
          <w:szCs w:val="28"/>
        </w:rPr>
        <w:t>1、招标清单</w:t>
      </w:r>
    </w:p>
    <w:p/>
    <w:p/>
    <w:p>
      <w:pPr>
        <w:numPr>
          <w:ilvl w:val="0"/>
          <w:numId w:val="13"/>
        </w:numPr>
        <w:rPr>
          <w:rFonts w:ascii="Times New Roman" w:hAnsi="Times New Roman" w:eastAsia="方正仿宋_GBK"/>
          <w:sz w:val="32"/>
          <w:szCs w:val="32"/>
        </w:rPr>
      </w:pPr>
      <w:r>
        <w:rPr>
          <w:rFonts w:hint="eastAsia" w:ascii="宋体" w:hAnsi="宋体" w:cs="宋体"/>
          <w:sz w:val="28"/>
          <w:szCs w:val="28"/>
        </w:rPr>
        <w:t>图纸、</w:t>
      </w:r>
    </w:p>
    <w:p>
      <w:pPr>
        <w:pStyle w:val="6"/>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rPr>
          <w:rFonts w:ascii="Times New Roman" w:hAnsi="Times New Roman" w:eastAsia="方正仿宋_GBK"/>
          <w:sz w:val="32"/>
          <w:szCs w:val="32"/>
        </w:rPr>
      </w:pPr>
    </w:p>
    <w:p>
      <w:pPr>
        <w:pStyle w:val="6"/>
        <w:rPr>
          <w:rFonts w:ascii="Times New Roman" w:hAnsi="Times New Roman" w:eastAsia="方正仿宋_GBK"/>
          <w:szCs w:val="32"/>
        </w:rPr>
      </w:pPr>
    </w:p>
    <w:p/>
    <w:p/>
    <w:p>
      <w:pPr>
        <w:tabs>
          <w:tab w:val="left" w:pos="6300"/>
        </w:tabs>
        <w:snapToGrid w:val="0"/>
        <w:spacing w:line="594" w:lineRule="exact"/>
        <w:ind w:firstLine="640" w:firstLineChars="200"/>
        <w:rPr>
          <w:rFonts w:ascii="Times New Roman" w:hAnsi="Times New Roman" w:eastAsia="方正仿宋_GBK"/>
          <w:sz w:val="32"/>
          <w:szCs w:val="32"/>
        </w:rPr>
      </w:pPr>
    </w:p>
    <w:p>
      <w:pPr>
        <w:tabs>
          <w:tab w:val="left" w:pos="6300"/>
        </w:tabs>
        <w:snapToGrid w:val="0"/>
        <w:spacing w:line="594" w:lineRule="exact"/>
        <w:ind w:firstLine="640" w:firstLineChars="200"/>
        <w:jc w:val="center"/>
        <w:rPr>
          <w:rFonts w:ascii="Times New Roman" w:hAnsi="Times New Roman" w:eastAsia="方正仿宋_GBK"/>
          <w:sz w:val="32"/>
          <w:szCs w:val="32"/>
        </w:rPr>
      </w:pPr>
      <w:r>
        <w:rPr>
          <w:rFonts w:ascii="Times New Roman" w:hAnsi="Times New Roman" w:eastAsia="方正仿宋_GBK"/>
          <w:sz w:val="32"/>
          <w:szCs w:val="32"/>
        </w:rPr>
        <w:t>（结束）</w:t>
      </w:r>
    </w:p>
    <w:p>
      <w:pPr>
        <w:spacing w:line="594" w:lineRule="exact"/>
        <w:rPr>
          <w:rFonts w:ascii="Times New Roman" w:hAnsi="Times New Roman" w:eastAsia="方正仿宋_GBK"/>
          <w:sz w:val="32"/>
          <w:szCs w:val="32"/>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FF696FD2-8308-4320-A38C-8E9E0F0076AA}"/>
  </w:font>
  <w:font w:name="方正黑体_GBK">
    <w:panose1 w:val="03000509000000000000"/>
    <w:charset w:val="86"/>
    <w:family w:val="auto"/>
    <w:pitch w:val="default"/>
    <w:sig w:usb0="00000001" w:usb1="080E0000" w:usb2="00000000" w:usb3="00000000" w:csb0="00040000" w:csb1="00000000"/>
    <w:embedRegular r:id="rId2" w:fontKey="{A69E9A0C-33F3-44DF-9404-B034DC818EB8}"/>
  </w:font>
  <w:font w:name="方正楷体_GBK">
    <w:panose1 w:val="03000509000000000000"/>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_GB2312">
    <w:altName w:val="方正仿宋_GBK"/>
    <w:panose1 w:val="00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文鼎粗黑">
    <w:altName w:val="新宋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仿宋简体">
    <w:panose1 w:val="02010601030101010101"/>
    <w:charset w:val="86"/>
    <w:family w:val="roma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3" w:fontKey="{7F2D8572-CBDF-49E4-9950-EBB545303B23}"/>
  </w:font>
  <w:font w:name="仿宋">
    <w:panose1 w:val="02010609060101010101"/>
    <w:charset w:val="86"/>
    <w:family w:val="modern"/>
    <w:pitch w:val="default"/>
    <w:sig w:usb0="800002BF" w:usb1="38CF7CFA" w:usb2="00000016" w:usb3="00000000" w:csb0="00040001" w:csb1="00000000"/>
    <w:embedRegular r:id="rId4" w:fontKey="{321D981C-1E95-4BBB-BAB3-93C2BD9986F8}"/>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6850" cy="137795"/>
              <wp:effectExtent l="0" t="0" r="0" b="0"/>
              <wp:wrapNone/>
              <wp:docPr id="1" name="文本框 4"/>
              <wp:cNvGraphicFramePr/>
              <a:graphic xmlns:a="http://schemas.openxmlformats.org/drawingml/2006/main">
                <a:graphicData uri="http://schemas.microsoft.com/office/word/2010/wordprocessingShape">
                  <wps:wsp>
                    <wps:cNvSpPr txBox="1"/>
                    <wps:spPr>
                      <a:xfrm>
                        <a:off x="0" y="0"/>
                        <a:ext cx="196850" cy="137795"/>
                      </a:xfrm>
                      <a:prstGeom prst="rect">
                        <a:avLst/>
                      </a:prstGeom>
                      <a:noFill/>
                      <a:ln w="6350">
                        <a:noFill/>
                      </a:ln>
                      <a:effectLst/>
                    </wps:spPr>
                    <wps:txbx>
                      <w:txbxContent>
                        <w:p>
                          <w:pPr>
                            <w:pStyle w:val="36"/>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4" o:spid="_x0000_s1026" o:spt="202" type="#_x0000_t202" style="position:absolute;left:0pt;margin-top:0pt;height:10.85pt;width:15.5pt;mso-position-horizontal:center;mso-position-horizontal-relative:margin;mso-wrap-style:none;z-index:251659264;mso-width-relative:page;mso-height-relative:page;" filled="f" stroked="f" coordsize="21600,21600" o:gfxdata="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fW5+00QAAAAMBAAAPAAAAAAAAAAEAIAAAACIAAABkcnMvZG93bnJldi54bWxQSwEC&#10;FAAUAAAACACHTuJAXHJRxTQCAABhBAAADgAAAAAAAAABACAAAAAgAQAAZHJzL2Uyb0RvYy54bWxQ&#10;SwUGAAAAAAYABgBZAQAAxgUAAAAA&#10;">
              <v:fill on="f" focussize="0,0"/>
              <v:stroke on="f" weight="0.5pt"/>
              <v:imagedata o:title=""/>
              <o:lock v:ext="edit" aspectratio="f"/>
              <v:textbox inset="0mm,0mm,0mm,0mm" style="mso-fit-shape-to-text:t;">
                <w:txbxContent>
                  <w:p>
                    <w:pPr>
                      <w:pStyle w:val="36"/>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B455AE"/>
    <w:multiLevelType w:val="singleLevel"/>
    <w:tmpl w:val="8FB455AE"/>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3">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D"/>
    <w:multiLevelType w:val="singleLevel"/>
    <w:tmpl w:val="0000000D"/>
    <w:lvl w:ilvl="0" w:tentative="0">
      <w:start w:val="1"/>
      <w:numFmt w:val="bullet"/>
      <w:pStyle w:val="23"/>
      <w:lvlText w:val=""/>
      <w:lvlJc w:val="left"/>
      <w:pPr>
        <w:tabs>
          <w:tab w:val="left" w:pos="1200"/>
        </w:tabs>
        <w:ind w:left="1200" w:hanging="360"/>
      </w:pPr>
      <w:rPr>
        <w:rFonts w:hint="default" w:ascii="Wingdings" w:hAnsi="Wingdings"/>
      </w:rPr>
    </w:lvl>
  </w:abstractNum>
  <w:abstractNum w:abstractNumId="5">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6">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1"/>
    <w:multiLevelType w:val="singleLevel"/>
    <w:tmpl w:val="00000011"/>
    <w:lvl w:ilvl="0" w:tentative="0">
      <w:start w:val="1"/>
      <w:numFmt w:val="decimal"/>
      <w:pStyle w:val="15"/>
      <w:lvlText w:val="%1."/>
      <w:lvlJc w:val="left"/>
      <w:pPr>
        <w:tabs>
          <w:tab w:val="left" w:pos="425"/>
        </w:tabs>
        <w:ind w:left="425" w:hanging="425"/>
      </w:pPr>
      <w:rPr>
        <w:rFonts w:hint="default"/>
      </w:rPr>
    </w:lvl>
  </w:abstractNum>
  <w:abstractNum w:abstractNumId="8">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3"/>
    <w:multiLevelType w:val="singleLevel"/>
    <w:tmpl w:val="00000013"/>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10">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1">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8340C51"/>
    <w:multiLevelType w:val="singleLevel"/>
    <w:tmpl w:val="78340C51"/>
    <w:lvl w:ilvl="0" w:tentative="0">
      <w:start w:val="2"/>
      <w:numFmt w:val="decimal"/>
      <w:suff w:val="nothing"/>
      <w:lvlText w:val="%1、"/>
      <w:lvlJc w:val="left"/>
      <w:pPr>
        <w:ind w:left="840" w:firstLine="0"/>
      </w:pPr>
    </w:lvl>
  </w:abstractNum>
  <w:num w:numId="1">
    <w:abstractNumId w:val="7"/>
  </w:num>
  <w:num w:numId="2">
    <w:abstractNumId w:val="4"/>
  </w:num>
  <w:num w:numId="3">
    <w:abstractNumId w:val="9"/>
  </w:num>
  <w:num w:numId="4">
    <w:abstractNumId w:val="6"/>
  </w:num>
  <w:num w:numId="5">
    <w:abstractNumId w:val="2"/>
  </w:num>
  <w:num w:numId="6">
    <w:abstractNumId w:val="8"/>
  </w:num>
  <w:num w:numId="7">
    <w:abstractNumId w:val="10"/>
  </w:num>
  <w:num w:numId="8">
    <w:abstractNumId w:val="3"/>
  </w:num>
  <w:num w:numId="9">
    <w:abstractNumId w:val="11"/>
  </w:num>
  <w:num w:numId="10">
    <w:abstractNumId w:val="1"/>
  </w:num>
  <w:num w:numId="11">
    <w:abstractNumId w:val="5"/>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gutterAtTop/>
  <w:documentProtection w:enforcement="0"/>
  <w:defaultTabStop w:val="420"/>
  <w:drawingGridHorizontalSpacing w:val="96"/>
  <w:drawingGridVerticalSpacing w:val="19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1NDk4ZmU0OGZmNmQ1OWJiMTQ3ZDk4YmJkZTM1ZDIifQ=="/>
  </w:docVars>
  <w:rsids>
    <w:rsidRoot w:val="00172A27"/>
    <w:rsid w:val="00001BE6"/>
    <w:rsid w:val="0000248C"/>
    <w:rsid w:val="0000339D"/>
    <w:rsid w:val="0000510B"/>
    <w:rsid w:val="0001050B"/>
    <w:rsid w:val="0001295C"/>
    <w:rsid w:val="000144C9"/>
    <w:rsid w:val="0002088C"/>
    <w:rsid w:val="00022723"/>
    <w:rsid w:val="00033DAB"/>
    <w:rsid w:val="000342CA"/>
    <w:rsid w:val="00034D2B"/>
    <w:rsid w:val="00035752"/>
    <w:rsid w:val="000370BC"/>
    <w:rsid w:val="000401A2"/>
    <w:rsid w:val="00041269"/>
    <w:rsid w:val="00042D13"/>
    <w:rsid w:val="00056A6E"/>
    <w:rsid w:val="00080C12"/>
    <w:rsid w:val="000831AB"/>
    <w:rsid w:val="0008422C"/>
    <w:rsid w:val="00084C93"/>
    <w:rsid w:val="000864EB"/>
    <w:rsid w:val="00095E1C"/>
    <w:rsid w:val="000B4CFC"/>
    <w:rsid w:val="000D42BB"/>
    <w:rsid w:val="000D5AC6"/>
    <w:rsid w:val="000E232C"/>
    <w:rsid w:val="000E3144"/>
    <w:rsid w:val="000E3326"/>
    <w:rsid w:val="000F1833"/>
    <w:rsid w:val="00112B1D"/>
    <w:rsid w:val="00114077"/>
    <w:rsid w:val="0011647C"/>
    <w:rsid w:val="00116BB6"/>
    <w:rsid w:val="00117275"/>
    <w:rsid w:val="001173E3"/>
    <w:rsid w:val="001306AD"/>
    <w:rsid w:val="00136D0F"/>
    <w:rsid w:val="001435CF"/>
    <w:rsid w:val="001445A2"/>
    <w:rsid w:val="00145859"/>
    <w:rsid w:val="0015070D"/>
    <w:rsid w:val="00150D87"/>
    <w:rsid w:val="00152A19"/>
    <w:rsid w:val="0015525F"/>
    <w:rsid w:val="00165915"/>
    <w:rsid w:val="00166EEA"/>
    <w:rsid w:val="00172A27"/>
    <w:rsid w:val="00173214"/>
    <w:rsid w:val="0017411A"/>
    <w:rsid w:val="001765E3"/>
    <w:rsid w:val="00177A86"/>
    <w:rsid w:val="001829E7"/>
    <w:rsid w:val="00191E27"/>
    <w:rsid w:val="00192985"/>
    <w:rsid w:val="001959D5"/>
    <w:rsid w:val="001A1F58"/>
    <w:rsid w:val="001A3E64"/>
    <w:rsid w:val="001B25EC"/>
    <w:rsid w:val="001E13BC"/>
    <w:rsid w:val="001E2C1B"/>
    <w:rsid w:val="001E3607"/>
    <w:rsid w:val="001E44D9"/>
    <w:rsid w:val="001E73E2"/>
    <w:rsid w:val="001F31F7"/>
    <w:rsid w:val="001F402F"/>
    <w:rsid w:val="001F74AE"/>
    <w:rsid w:val="002122FC"/>
    <w:rsid w:val="0021327B"/>
    <w:rsid w:val="0021595A"/>
    <w:rsid w:val="00223B9B"/>
    <w:rsid w:val="0022691C"/>
    <w:rsid w:val="00226A1A"/>
    <w:rsid w:val="00227B9B"/>
    <w:rsid w:val="002308E3"/>
    <w:rsid w:val="00234024"/>
    <w:rsid w:val="002466DB"/>
    <w:rsid w:val="00261865"/>
    <w:rsid w:val="002676F5"/>
    <w:rsid w:val="00273779"/>
    <w:rsid w:val="00275882"/>
    <w:rsid w:val="0028373F"/>
    <w:rsid w:val="00285E95"/>
    <w:rsid w:val="0028708D"/>
    <w:rsid w:val="002914D6"/>
    <w:rsid w:val="00296F1F"/>
    <w:rsid w:val="00297EC4"/>
    <w:rsid w:val="002A5487"/>
    <w:rsid w:val="002B0676"/>
    <w:rsid w:val="002C7EDF"/>
    <w:rsid w:val="002D14D5"/>
    <w:rsid w:val="002E1AF2"/>
    <w:rsid w:val="002E3F31"/>
    <w:rsid w:val="002F2847"/>
    <w:rsid w:val="002F39DF"/>
    <w:rsid w:val="002F5C86"/>
    <w:rsid w:val="00305C0F"/>
    <w:rsid w:val="00313FC6"/>
    <w:rsid w:val="00314FE1"/>
    <w:rsid w:val="00316DF3"/>
    <w:rsid w:val="003226F2"/>
    <w:rsid w:val="00330491"/>
    <w:rsid w:val="003332D6"/>
    <w:rsid w:val="00333713"/>
    <w:rsid w:val="0033562A"/>
    <w:rsid w:val="003453EB"/>
    <w:rsid w:val="00357DD6"/>
    <w:rsid w:val="003609C0"/>
    <w:rsid w:val="00362935"/>
    <w:rsid w:val="00372AF8"/>
    <w:rsid w:val="00372BE3"/>
    <w:rsid w:val="00375908"/>
    <w:rsid w:val="00376A0F"/>
    <w:rsid w:val="00382DE2"/>
    <w:rsid w:val="003876E3"/>
    <w:rsid w:val="003878EB"/>
    <w:rsid w:val="003A0967"/>
    <w:rsid w:val="003A0A5B"/>
    <w:rsid w:val="003A2252"/>
    <w:rsid w:val="003B3375"/>
    <w:rsid w:val="003B48D3"/>
    <w:rsid w:val="003C7EBF"/>
    <w:rsid w:val="003D7E49"/>
    <w:rsid w:val="003E643E"/>
    <w:rsid w:val="003E69B4"/>
    <w:rsid w:val="003E7CAB"/>
    <w:rsid w:val="003F2390"/>
    <w:rsid w:val="003F2678"/>
    <w:rsid w:val="003F7078"/>
    <w:rsid w:val="003F75E7"/>
    <w:rsid w:val="00415960"/>
    <w:rsid w:val="00421287"/>
    <w:rsid w:val="0043243B"/>
    <w:rsid w:val="00442270"/>
    <w:rsid w:val="00442877"/>
    <w:rsid w:val="0044680D"/>
    <w:rsid w:val="00460545"/>
    <w:rsid w:val="00460BF2"/>
    <w:rsid w:val="0046231C"/>
    <w:rsid w:val="00462C46"/>
    <w:rsid w:val="0046423E"/>
    <w:rsid w:val="0047692C"/>
    <w:rsid w:val="00483893"/>
    <w:rsid w:val="00487EC2"/>
    <w:rsid w:val="004916E8"/>
    <w:rsid w:val="004919D6"/>
    <w:rsid w:val="00493794"/>
    <w:rsid w:val="00495D1A"/>
    <w:rsid w:val="0049754E"/>
    <w:rsid w:val="004A1198"/>
    <w:rsid w:val="004A2061"/>
    <w:rsid w:val="004A6CE1"/>
    <w:rsid w:val="004B2C7E"/>
    <w:rsid w:val="004B4D5B"/>
    <w:rsid w:val="004B6135"/>
    <w:rsid w:val="004C33E5"/>
    <w:rsid w:val="004C55B8"/>
    <w:rsid w:val="004D15E1"/>
    <w:rsid w:val="004D3EE5"/>
    <w:rsid w:val="004D4610"/>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7A61"/>
    <w:rsid w:val="00544AC9"/>
    <w:rsid w:val="0054745E"/>
    <w:rsid w:val="00550847"/>
    <w:rsid w:val="0055266E"/>
    <w:rsid w:val="00556FA6"/>
    <w:rsid w:val="0055762B"/>
    <w:rsid w:val="0056207B"/>
    <w:rsid w:val="00562F84"/>
    <w:rsid w:val="00570E31"/>
    <w:rsid w:val="00576189"/>
    <w:rsid w:val="00580744"/>
    <w:rsid w:val="00585CBE"/>
    <w:rsid w:val="005869E2"/>
    <w:rsid w:val="005879AF"/>
    <w:rsid w:val="005B1134"/>
    <w:rsid w:val="005C0E3C"/>
    <w:rsid w:val="005C3078"/>
    <w:rsid w:val="005C530A"/>
    <w:rsid w:val="005C6932"/>
    <w:rsid w:val="005C7A84"/>
    <w:rsid w:val="005E2702"/>
    <w:rsid w:val="005E5D5E"/>
    <w:rsid w:val="005F22A3"/>
    <w:rsid w:val="005F2BA4"/>
    <w:rsid w:val="005F4F46"/>
    <w:rsid w:val="006013A9"/>
    <w:rsid w:val="00603EEA"/>
    <w:rsid w:val="00610016"/>
    <w:rsid w:val="00614560"/>
    <w:rsid w:val="0062081E"/>
    <w:rsid w:val="00624C71"/>
    <w:rsid w:val="00625F79"/>
    <w:rsid w:val="00632F21"/>
    <w:rsid w:val="00643888"/>
    <w:rsid w:val="006447E2"/>
    <w:rsid w:val="006452FB"/>
    <w:rsid w:val="00650BCB"/>
    <w:rsid w:val="0065313C"/>
    <w:rsid w:val="00661F22"/>
    <w:rsid w:val="00664DC0"/>
    <w:rsid w:val="0066703B"/>
    <w:rsid w:val="00667DF3"/>
    <w:rsid w:val="0067200E"/>
    <w:rsid w:val="00675CDE"/>
    <w:rsid w:val="006802F3"/>
    <w:rsid w:val="00684D9B"/>
    <w:rsid w:val="006939AC"/>
    <w:rsid w:val="00693E44"/>
    <w:rsid w:val="006A2801"/>
    <w:rsid w:val="006A3401"/>
    <w:rsid w:val="006B2455"/>
    <w:rsid w:val="006B24DC"/>
    <w:rsid w:val="006B6471"/>
    <w:rsid w:val="006B6EA1"/>
    <w:rsid w:val="006C353F"/>
    <w:rsid w:val="006C6158"/>
    <w:rsid w:val="006C7CD3"/>
    <w:rsid w:val="006E7CC9"/>
    <w:rsid w:val="006F70D8"/>
    <w:rsid w:val="00711B29"/>
    <w:rsid w:val="007235C2"/>
    <w:rsid w:val="00723BC4"/>
    <w:rsid w:val="007271D5"/>
    <w:rsid w:val="00727603"/>
    <w:rsid w:val="00731090"/>
    <w:rsid w:val="00740692"/>
    <w:rsid w:val="007415FB"/>
    <w:rsid w:val="00744277"/>
    <w:rsid w:val="007442A0"/>
    <w:rsid w:val="007477F8"/>
    <w:rsid w:val="00754219"/>
    <w:rsid w:val="00755658"/>
    <w:rsid w:val="00757D4B"/>
    <w:rsid w:val="00764963"/>
    <w:rsid w:val="007676AC"/>
    <w:rsid w:val="00773049"/>
    <w:rsid w:val="0077697A"/>
    <w:rsid w:val="00791D34"/>
    <w:rsid w:val="00794A8C"/>
    <w:rsid w:val="007A3A16"/>
    <w:rsid w:val="007B0C8E"/>
    <w:rsid w:val="007B6393"/>
    <w:rsid w:val="007B641D"/>
    <w:rsid w:val="007C31A2"/>
    <w:rsid w:val="007D4D6B"/>
    <w:rsid w:val="007D57AF"/>
    <w:rsid w:val="007E13BD"/>
    <w:rsid w:val="007E1B9B"/>
    <w:rsid w:val="007E1D36"/>
    <w:rsid w:val="007F25E2"/>
    <w:rsid w:val="007F2A53"/>
    <w:rsid w:val="00827371"/>
    <w:rsid w:val="00833A4D"/>
    <w:rsid w:val="00834033"/>
    <w:rsid w:val="008357FF"/>
    <w:rsid w:val="00844F3C"/>
    <w:rsid w:val="00854CC0"/>
    <w:rsid w:val="00854ED3"/>
    <w:rsid w:val="0085726D"/>
    <w:rsid w:val="00862785"/>
    <w:rsid w:val="008724CF"/>
    <w:rsid w:val="00872901"/>
    <w:rsid w:val="0087534C"/>
    <w:rsid w:val="008825DA"/>
    <w:rsid w:val="00884B72"/>
    <w:rsid w:val="008937A6"/>
    <w:rsid w:val="00894E75"/>
    <w:rsid w:val="008A10C4"/>
    <w:rsid w:val="008A669F"/>
    <w:rsid w:val="008B2D07"/>
    <w:rsid w:val="008F3680"/>
    <w:rsid w:val="008F36BF"/>
    <w:rsid w:val="008F5197"/>
    <w:rsid w:val="008F5C45"/>
    <w:rsid w:val="0091487A"/>
    <w:rsid w:val="00915F97"/>
    <w:rsid w:val="00922C6C"/>
    <w:rsid w:val="009248A6"/>
    <w:rsid w:val="00925929"/>
    <w:rsid w:val="009261F0"/>
    <w:rsid w:val="009302D1"/>
    <w:rsid w:val="00936181"/>
    <w:rsid w:val="00936197"/>
    <w:rsid w:val="00937766"/>
    <w:rsid w:val="00940646"/>
    <w:rsid w:val="009415FC"/>
    <w:rsid w:val="00953EFD"/>
    <w:rsid w:val="009546D9"/>
    <w:rsid w:val="009570EF"/>
    <w:rsid w:val="00962AED"/>
    <w:rsid w:val="00962B1E"/>
    <w:rsid w:val="009710AF"/>
    <w:rsid w:val="009751C9"/>
    <w:rsid w:val="0097589B"/>
    <w:rsid w:val="009858DD"/>
    <w:rsid w:val="00986E87"/>
    <w:rsid w:val="0099301C"/>
    <w:rsid w:val="0099728C"/>
    <w:rsid w:val="009A317C"/>
    <w:rsid w:val="009A770F"/>
    <w:rsid w:val="009B0155"/>
    <w:rsid w:val="009B4011"/>
    <w:rsid w:val="009B5C25"/>
    <w:rsid w:val="009C25EB"/>
    <w:rsid w:val="009C273F"/>
    <w:rsid w:val="009C72B4"/>
    <w:rsid w:val="009C7E80"/>
    <w:rsid w:val="009E4DB9"/>
    <w:rsid w:val="009E62CD"/>
    <w:rsid w:val="009F0588"/>
    <w:rsid w:val="00A029A8"/>
    <w:rsid w:val="00A06259"/>
    <w:rsid w:val="00A13D05"/>
    <w:rsid w:val="00A2457C"/>
    <w:rsid w:val="00A3078D"/>
    <w:rsid w:val="00A56F1E"/>
    <w:rsid w:val="00A6021E"/>
    <w:rsid w:val="00A614CD"/>
    <w:rsid w:val="00A661F0"/>
    <w:rsid w:val="00A73BB6"/>
    <w:rsid w:val="00A848BE"/>
    <w:rsid w:val="00A8591D"/>
    <w:rsid w:val="00A9133B"/>
    <w:rsid w:val="00AB4844"/>
    <w:rsid w:val="00AC6BB5"/>
    <w:rsid w:val="00AC755D"/>
    <w:rsid w:val="00AE5478"/>
    <w:rsid w:val="00AF3E34"/>
    <w:rsid w:val="00AF70BC"/>
    <w:rsid w:val="00B000A7"/>
    <w:rsid w:val="00B01F29"/>
    <w:rsid w:val="00B211FF"/>
    <w:rsid w:val="00B27AB3"/>
    <w:rsid w:val="00B3092E"/>
    <w:rsid w:val="00B3337A"/>
    <w:rsid w:val="00B43355"/>
    <w:rsid w:val="00B438DA"/>
    <w:rsid w:val="00B47D95"/>
    <w:rsid w:val="00B47F90"/>
    <w:rsid w:val="00B60CC0"/>
    <w:rsid w:val="00B60F1F"/>
    <w:rsid w:val="00B66A31"/>
    <w:rsid w:val="00B71F19"/>
    <w:rsid w:val="00B730A8"/>
    <w:rsid w:val="00B807B4"/>
    <w:rsid w:val="00B85F50"/>
    <w:rsid w:val="00B93A95"/>
    <w:rsid w:val="00BA1F2C"/>
    <w:rsid w:val="00BA6D42"/>
    <w:rsid w:val="00BB3E0F"/>
    <w:rsid w:val="00BB3F7A"/>
    <w:rsid w:val="00BC197B"/>
    <w:rsid w:val="00BC4CA6"/>
    <w:rsid w:val="00BC54ED"/>
    <w:rsid w:val="00BC5F26"/>
    <w:rsid w:val="00BD5A39"/>
    <w:rsid w:val="00BE5666"/>
    <w:rsid w:val="00BE69B8"/>
    <w:rsid w:val="00BE6C0F"/>
    <w:rsid w:val="00BF23A8"/>
    <w:rsid w:val="00BF771D"/>
    <w:rsid w:val="00C00F18"/>
    <w:rsid w:val="00C042EA"/>
    <w:rsid w:val="00C04BA8"/>
    <w:rsid w:val="00C0607C"/>
    <w:rsid w:val="00C14479"/>
    <w:rsid w:val="00C34570"/>
    <w:rsid w:val="00C6551D"/>
    <w:rsid w:val="00C77842"/>
    <w:rsid w:val="00C80AEB"/>
    <w:rsid w:val="00C83661"/>
    <w:rsid w:val="00C86F63"/>
    <w:rsid w:val="00C909A2"/>
    <w:rsid w:val="00C90BFE"/>
    <w:rsid w:val="00C93808"/>
    <w:rsid w:val="00C970B3"/>
    <w:rsid w:val="00C974F3"/>
    <w:rsid w:val="00CA01FB"/>
    <w:rsid w:val="00CA0330"/>
    <w:rsid w:val="00CA1757"/>
    <w:rsid w:val="00CA2144"/>
    <w:rsid w:val="00CA5B09"/>
    <w:rsid w:val="00CB042A"/>
    <w:rsid w:val="00CB1558"/>
    <w:rsid w:val="00CB395B"/>
    <w:rsid w:val="00CB6765"/>
    <w:rsid w:val="00CC15A7"/>
    <w:rsid w:val="00CC4F85"/>
    <w:rsid w:val="00CD05BE"/>
    <w:rsid w:val="00CD32F7"/>
    <w:rsid w:val="00CD3B75"/>
    <w:rsid w:val="00CD410E"/>
    <w:rsid w:val="00CD444E"/>
    <w:rsid w:val="00CE0996"/>
    <w:rsid w:val="00CE5309"/>
    <w:rsid w:val="00D10115"/>
    <w:rsid w:val="00D12C5A"/>
    <w:rsid w:val="00D16E35"/>
    <w:rsid w:val="00D21D58"/>
    <w:rsid w:val="00D226A5"/>
    <w:rsid w:val="00D2377C"/>
    <w:rsid w:val="00D40159"/>
    <w:rsid w:val="00D436DC"/>
    <w:rsid w:val="00D507D1"/>
    <w:rsid w:val="00D53B0C"/>
    <w:rsid w:val="00D542A2"/>
    <w:rsid w:val="00D71882"/>
    <w:rsid w:val="00D72945"/>
    <w:rsid w:val="00D74C18"/>
    <w:rsid w:val="00D82D71"/>
    <w:rsid w:val="00D858CC"/>
    <w:rsid w:val="00D90904"/>
    <w:rsid w:val="00D94C1F"/>
    <w:rsid w:val="00DA0CCD"/>
    <w:rsid w:val="00DA4850"/>
    <w:rsid w:val="00DB0ABC"/>
    <w:rsid w:val="00DB1FD6"/>
    <w:rsid w:val="00DC044C"/>
    <w:rsid w:val="00DC165B"/>
    <w:rsid w:val="00DD4017"/>
    <w:rsid w:val="00DD5085"/>
    <w:rsid w:val="00DF02E6"/>
    <w:rsid w:val="00DF78F1"/>
    <w:rsid w:val="00E02B47"/>
    <w:rsid w:val="00E02DC8"/>
    <w:rsid w:val="00E17A14"/>
    <w:rsid w:val="00E2740B"/>
    <w:rsid w:val="00E36FD0"/>
    <w:rsid w:val="00E373AF"/>
    <w:rsid w:val="00E40564"/>
    <w:rsid w:val="00E45B7C"/>
    <w:rsid w:val="00E46A0A"/>
    <w:rsid w:val="00E54E2D"/>
    <w:rsid w:val="00E670E8"/>
    <w:rsid w:val="00E7009E"/>
    <w:rsid w:val="00E863F1"/>
    <w:rsid w:val="00E90390"/>
    <w:rsid w:val="00EB288A"/>
    <w:rsid w:val="00EB6C11"/>
    <w:rsid w:val="00EC181B"/>
    <w:rsid w:val="00ED22E7"/>
    <w:rsid w:val="00ED6923"/>
    <w:rsid w:val="00EF2ADC"/>
    <w:rsid w:val="00EF7CD3"/>
    <w:rsid w:val="00F10101"/>
    <w:rsid w:val="00F35950"/>
    <w:rsid w:val="00F36500"/>
    <w:rsid w:val="00F46451"/>
    <w:rsid w:val="00F52390"/>
    <w:rsid w:val="00F52FCE"/>
    <w:rsid w:val="00F63D24"/>
    <w:rsid w:val="00F73AD6"/>
    <w:rsid w:val="00F75DE7"/>
    <w:rsid w:val="00F86114"/>
    <w:rsid w:val="00F86546"/>
    <w:rsid w:val="00F91500"/>
    <w:rsid w:val="00F967E4"/>
    <w:rsid w:val="00FA3F47"/>
    <w:rsid w:val="00FB05FC"/>
    <w:rsid w:val="00FB296D"/>
    <w:rsid w:val="00FB61C1"/>
    <w:rsid w:val="00FC7528"/>
    <w:rsid w:val="00FC7767"/>
    <w:rsid w:val="00FD14FB"/>
    <w:rsid w:val="00FD2836"/>
    <w:rsid w:val="00FF0D08"/>
    <w:rsid w:val="00FF7528"/>
    <w:rsid w:val="00FF7DDB"/>
    <w:rsid w:val="01802C9E"/>
    <w:rsid w:val="01AE15BA"/>
    <w:rsid w:val="0200284C"/>
    <w:rsid w:val="02B96468"/>
    <w:rsid w:val="02CC61E9"/>
    <w:rsid w:val="04820ADC"/>
    <w:rsid w:val="07610150"/>
    <w:rsid w:val="07996868"/>
    <w:rsid w:val="080812F8"/>
    <w:rsid w:val="08C90330"/>
    <w:rsid w:val="08ED3546"/>
    <w:rsid w:val="0A183F21"/>
    <w:rsid w:val="0AA409BD"/>
    <w:rsid w:val="0B0121C8"/>
    <w:rsid w:val="0BAA1613"/>
    <w:rsid w:val="0D2C5A88"/>
    <w:rsid w:val="0D5969CF"/>
    <w:rsid w:val="0D703BC7"/>
    <w:rsid w:val="0E1053AA"/>
    <w:rsid w:val="0EFE3F6B"/>
    <w:rsid w:val="0F403764"/>
    <w:rsid w:val="101E0686"/>
    <w:rsid w:val="115C68DD"/>
    <w:rsid w:val="11B036FF"/>
    <w:rsid w:val="12015736"/>
    <w:rsid w:val="1242172D"/>
    <w:rsid w:val="143B07EB"/>
    <w:rsid w:val="150661E5"/>
    <w:rsid w:val="152A0AFF"/>
    <w:rsid w:val="15F829AC"/>
    <w:rsid w:val="166167A3"/>
    <w:rsid w:val="16750903"/>
    <w:rsid w:val="168801D3"/>
    <w:rsid w:val="170F4F5C"/>
    <w:rsid w:val="177644D0"/>
    <w:rsid w:val="185F4F64"/>
    <w:rsid w:val="19016FCE"/>
    <w:rsid w:val="1AAC135F"/>
    <w:rsid w:val="1B300E3A"/>
    <w:rsid w:val="1B656D35"/>
    <w:rsid w:val="1C0E01AF"/>
    <w:rsid w:val="1C422D53"/>
    <w:rsid w:val="1C5F19D6"/>
    <w:rsid w:val="1C5F3784"/>
    <w:rsid w:val="1C635547"/>
    <w:rsid w:val="1D062FAF"/>
    <w:rsid w:val="1DDE2DCF"/>
    <w:rsid w:val="1E7E1EBC"/>
    <w:rsid w:val="1EB02F65"/>
    <w:rsid w:val="20D504B9"/>
    <w:rsid w:val="214C4198"/>
    <w:rsid w:val="222B4109"/>
    <w:rsid w:val="23C93BD9"/>
    <w:rsid w:val="2418246B"/>
    <w:rsid w:val="24585DA2"/>
    <w:rsid w:val="25F211C5"/>
    <w:rsid w:val="26301CEE"/>
    <w:rsid w:val="26A34BB6"/>
    <w:rsid w:val="2778394C"/>
    <w:rsid w:val="2940049A"/>
    <w:rsid w:val="2A9A00C1"/>
    <w:rsid w:val="2BF96B31"/>
    <w:rsid w:val="2C016606"/>
    <w:rsid w:val="2CAE5B32"/>
    <w:rsid w:val="2CEE4BBC"/>
    <w:rsid w:val="2ED532DC"/>
    <w:rsid w:val="2EF20488"/>
    <w:rsid w:val="2F5F53F2"/>
    <w:rsid w:val="2F7964B4"/>
    <w:rsid w:val="30EC0F07"/>
    <w:rsid w:val="30FE1366"/>
    <w:rsid w:val="31523460"/>
    <w:rsid w:val="31D874D8"/>
    <w:rsid w:val="328C4750"/>
    <w:rsid w:val="33803243"/>
    <w:rsid w:val="34CC3626"/>
    <w:rsid w:val="36341B73"/>
    <w:rsid w:val="366C6D72"/>
    <w:rsid w:val="36CD5783"/>
    <w:rsid w:val="37377380"/>
    <w:rsid w:val="373953D8"/>
    <w:rsid w:val="377063EE"/>
    <w:rsid w:val="3825367C"/>
    <w:rsid w:val="395B30CE"/>
    <w:rsid w:val="39D8471E"/>
    <w:rsid w:val="39D961DF"/>
    <w:rsid w:val="39E01679"/>
    <w:rsid w:val="3A2636DC"/>
    <w:rsid w:val="3A52627F"/>
    <w:rsid w:val="3A6F6E31"/>
    <w:rsid w:val="3AAE57BD"/>
    <w:rsid w:val="3AC058DE"/>
    <w:rsid w:val="3B6C3528"/>
    <w:rsid w:val="3B93207B"/>
    <w:rsid w:val="3C28373B"/>
    <w:rsid w:val="3D402512"/>
    <w:rsid w:val="3D854663"/>
    <w:rsid w:val="3E690C74"/>
    <w:rsid w:val="3EDB7D99"/>
    <w:rsid w:val="3F593C0C"/>
    <w:rsid w:val="3FCD46EF"/>
    <w:rsid w:val="40073668"/>
    <w:rsid w:val="41166258"/>
    <w:rsid w:val="411B1F4A"/>
    <w:rsid w:val="412F731A"/>
    <w:rsid w:val="416E7E42"/>
    <w:rsid w:val="4242307D"/>
    <w:rsid w:val="42AD499A"/>
    <w:rsid w:val="42DC0DDB"/>
    <w:rsid w:val="43260821"/>
    <w:rsid w:val="443A6498"/>
    <w:rsid w:val="44472BCC"/>
    <w:rsid w:val="44EB5650"/>
    <w:rsid w:val="44FA23B6"/>
    <w:rsid w:val="45C40B20"/>
    <w:rsid w:val="45FB04BF"/>
    <w:rsid w:val="460B6441"/>
    <w:rsid w:val="4685178A"/>
    <w:rsid w:val="470E1780"/>
    <w:rsid w:val="4823125B"/>
    <w:rsid w:val="48BA396D"/>
    <w:rsid w:val="4A8561FD"/>
    <w:rsid w:val="4AAA37C2"/>
    <w:rsid w:val="4AF12273"/>
    <w:rsid w:val="4AF52584"/>
    <w:rsid w:val="4B6D0675"/>
    <w:rsid w:val="4B6E6C91"/>
    <w:rsid w:val="4B7B4309"/>
    <w:rsid w:val="4BC9209C"/>
    <w:rsid w:val="4BFE0015"/>
    <w:rsid w:val="4CA02E7A"/>
    <w:rsid w:val="4CB84D74"/>
    <w:rsid w:val="4E140139"/>
    <w:rsid w:val="4E99569F"/>
    <w:rsid w:val="4E9D2F74"/>
    <w:rsid w:val="4F41189D"/>
    <w:rsid w:val="509B0528"/>
    <w:rsid w:val="50BB0112"/>
    <w:rsid w:val="51312C3A"/>
    <w:rsid w:val="517651DB"/>
    <w:rsid w:val="52036385"/>
    <w:rsid w:val="52D11C9C"/>
    <w:rsid w:val="53397B84"/>
    <w:rsid w:val="533D7EAC"/>
    <w:rsid w:val="53894668"/>
    <w:rsid w:val="54AA2E82"/>
    <w:rsid w:val="557859A2"/>
    <w:rsid w:val="563B4566"/>
    <w:rsid w:val="579B29E6"/>
    <w:rsid w:val="58030293"/>
    <w:rsid w:val="58604BDD"/>
    <w:rsid w:val="587548F6"/>
    <w:rsid w:val="5A272E2C"/>
    <w:rsid w:val="5A9515D1"/>
    <w:rsid w:val="5B8C0E98"/>
    <w:rsid w:val="5BBD57F6"/>
    <w:rsid w:val="5BC07095"/>
    <w:rsid w:val="5BC85F49"/>
    <w:rsid w:val="5BFDB513"/>
    <w:rsid w:val="5D902A97"/>
    <w:rsid w:val="5DCB1D21"/>
    <w:rsid w:val="5FB7255D"/>
    <w:rsid w:val="5FC65F60"/>
    <w:rsid w:val="5FF019A3"/>
    <w:rsid w:val="5FF27A39"/>
    <w:rsid w:val="60327E35"/>
    <w:rsid w:val="60CC028A"/>
    <w:rsid w:val="62C54F90"/>
    <w:rsid w:val="639635F7"/>
    <w:rsid w:val="646B0297"/>
    <w:rsid w:val="655A2308"/>
    <w:rsid w:val="65E816C2"/>
    <w:rsid w:val="65F91B55"/>
    <w:rsid w:val="66D50BFB"/>
    <w:rsid w:val="677551D7"/>
    <w:rsid w:val="67B15328"/>
    <w:rsid w:val="67B850C4"/>
    <w:rsid w:val="6844104D"/>
    <w:rsid w:val="68975621"/>
    <w:rsid w:val="68A51AEC"/>
    <w:rsid w:val="68E63EB3"/>
    <w:rsid w:val="69012A9A"/>
    <w:rsid w:val="6917406C"/>
    <w:rsid w:val="69381225"/>
    <w:rsid w:val="69AF24F6"/>
    <w:rsid w:val="69F8719C"/>
    <w:rsid w:val="6B3C1146"/>
    <w:rsid w:val="6BC843F0"/>
    <w:rsid w:val="6CEF3424"/>
    <w:rsid w:val="6D341690"/>
    <w:rsid w:val="6E02353D"/>
    <w:rsid w:val="6ECF78C3"/>
    <w:rsid w:val="70102B68"/>
    <w:rsid w:val="7113780F"/>
    <w:rsid w:val="71287CA7"/>
    <w:rsid w:val="7183443D"/>
    <w:rsid w:val="72477770"/>
    <w:rsid w:val="725620A9"/>
    <w:rsid w:val="728F0316"/>
    <w:rsid w:val="729047E4"/>
    <w:rsid w:val="74CC6652"/>
    <w:rsid w:val="751E519F"/>
    <w:rsid w:val="76DB3120"/>
    <w:rsid w:val="780B56E4"/>
    <w:rsid w:val="78434E7D"/>
    <w:rsid w:val="785B5D23"/>
    <w:rsid w:val="78972AD3"/>
    <w:rsid w:val="7927265A"/>
    <w:rsid w:val="79AD0B46"/>
    <w:rsid w:val="7A5D3EBA"/>
    <w:rsid w:val="7B214D90"/>
    <w:rsid w:val="7B5D6256"/>
    <w:rsid w:val="7BBC11CF"/>
    <w:rsid w:val="7CDF7FAC"/>
    <w:rsid w:val="7DAB6BB7"/>
    <w:rsid w:val="7EBF4B32"/>
    <w:rsid w:val="7EDA3BCE"/>
    <w:rsid w:val="7F65392B"/>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1"/>
      <w:lang w:val="en-US" w:eastAsia="zh-CN" w:bidi="ar-SA"/>
    </w:rPr>
  </w:style>
  <w:style w:type="paragraph" w:styleId="4">
    <w:name w:val="heading 1"/>
    <w:basedOn w:val="1"/>
    <w:next w:val="1"/>
    <w:autoRedefine/>
    <w:qFormat/>
    <w:uiPriority w:val="0"/>
    <w:pPr>
      <w:keepNext/>
      <w:snapToGrid w:val="0"/>
      <w:spacing w:line="360" w:lineRule="atLeast"/>
      <w:outlineLvl w:val="0"/>
    </w:pPr>
    <w:rPr>
      <w:rFonts w:ascii="宋体"/>
    </w:rPr>
  </w:style>
  <w:style w:type="paragraph" w:styleId="5">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97"/>
    <w:autoRedefine/>
    <w:qFormat/>
    <w:uiPriority w:val="0"/>
    <w:pPr>
      <w:keepNext/>
      <w:keepLines/>
      <w:spacing w:before="260" w:after="260" w:line="413" w:lineRule="auto"/>
      <w:outlineLvl w:val="2"/>
    </w:pPr>
    <w:rPr>
      <w:b/>
      <w:sz w:val="32"/>
    </w:rPr>
  </w:style>
  <w:style w:type="paragraph" w:styleId="7">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8">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semiHidden/>
    <w:unhideWhenUsed/>
    <w:uiPriority w:val="1"/>
  </w:style>
  <w:style w:type="table" w:default="1" w:styleId="5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81"/>
    <w:autoRedefine/>
    <w:qFormat/>
    <w:uiPriority w:val="0"/>
    <w:pPr>
      <w:spacing w:after="120" w:line="240" w:lineRule="auto"/>
      <w:ind w:left="420" w:leftChars="200" w:firstLine="420" w:firstLineChars="200"/>
    </w:pPr>
  </w:style>
  <w:style w:type="paragraph" w:styleId="3">
    <w:name w:val="Body Text Indent"/>
    <w:basedOn w:val="1"/>
    <w:link w:val="82"/>
    <w:autoRedefine/>
    <w:qFormat/>
    <w:uiPriority w:val="0"/>
    <w:pPr>
      <w:spacing w:line="700" w:lineRule="exact"/>
      <w:ind w:left="960"/>
    </w:pPr>
    <w:rPr>
      <w:sz w:val="44"/>
    </w:rPr>
  </w:style>
  <w:style w:type="paragraph" w:styleId="13">
    <w:name w:val="List 3"/>
    <w:basedOn w:val="1"/>
    <w:autoRedefine/>
    <w:qFormat/>
    <w:uiPriority w:val="0"/>
    <w:pPr>
      <w:adjustRightInd w:val="0"/>
      <w:snapToGrid w:val="0"/>
      <w:spacing w:line="360" w:lineRule="auto"/>
      <w:ind w:left="100" w:leftChars="400" w:hanging="200" w:hangingChars="200"/>
    </w:pPr>
    <w:rPr>
      <w:sz w:val="24"/>
    </w:rPr>
  </w:style>
  <w:style w:type="paragraph" w:styleId="14">
    <w:name w:val="toc 7"/>
    <w:basedOn w:val="1"/>
    <w:next w:val="1"/>
    <w:autoRedefine/>
    <w:qFormat/>
    <w:uiPriority w:val="0"/>
    <w:pPr>
      <w:ind w:left="2520" w:leftChars="1200"/>
    </w:pPr>
  </w:style>
  <w:style w:type="paragraph" w:styleId="15">
    <w:name w:val="List Number 2"/>
    <w:basedOn w:val="1"/>
    <w:autoRedefine/>
    <w:qFormat/>
    <w:uiPriority w:val="0"/>
    <w:pPr>
      <w:numPr>
        <w:ilvl w:val="0"/>
        <w:numId w:val="1"/>
      </w:numPr>
      <w:tabs>
        <w:tab w:val="left" w:pos="780"/>
        <w:tab w:val="clear" w:pos="425"/>
      </w:tabs>
      <w:spacing w:line="360" w:lineRule="auto"/>
    </w:pPr>
    <w:rPr>
      <w:sz w:val="24"/>
    </w:rPr>
  </w:style>
  <w:style w:type="paragraph" w:styleId="16">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autoRedefine/>
    <w:qFormat/>
    <w:uiPriority w:val="0"/>
    <w:pPr>
      <w:adjustRightInd w:val="0"/>
      <w:snapToGrid w:val="0"/>
      <w:spacing w:line="360" w:lineRule="auto"/>
      <w:ind w:firstLine="420"/>
    </w:pPr>
    <w:rPr>
      <w:sz w:val="24"/>
    </w:rPr>
  </w:style>
  <w:style w:type="paragraph" w:styleId="18">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autoRedefine/>
    <w:qFormat/>
    <w:uiPriority w:val="0"/>
    <w:pPr>
      <w:shd w:val="clear" w:color="auto" w:fill="000080"/>
    </w:pPr>
  </w:style>
  <w:style w:type="paragraph" w:styleId="20">
    <w:name w:val="toa heading"/>
    <w:basedOn w:val="1"/>
    <w:next w:val="1"/>
    <w:autoRedefine/>
    <w:qFormat/>
    <w:uiPriority w:val="0"/>
    <w:pPr>
      <w:spacing w:before="120"/>
    </w:pPr>
    <w:rPr>
      <w:rFonts w:ascii="Arial" w:hAnsi="Arial"/>
      <w:sz w:val="24"/>
    </w:rPr>
  </w:style>
  <w:style w:type="paragraph" w:styleId="21">
    <w:name w:val="annotation text"/>
    <w:basedOn w:val="1"/>
    <w:link w:val="75"/>
    <w:autoRedefine/>
    <w:qFormat/>
    <w:uiPriority w:val="0"/>
    <w:pPr>
      <w:adjustRightInd w:val="0"/>
      <w:spacing w:line="360" w:lineRule="atLeast"/>
      <w:jc w:val="left"/>
      <w:textAlignment w:val="baseline"/>
    </w:pPr>
    <w:rPr>
      <w:sz w:val="24"/>
    </w:rPr>
  </w:style>
  <w:style w:type="paragraph" w:styleId="22">
    <w:name w:val="Body Text 3"/>
    <w:basedOn w:val="1"/>
    <w:autoRedefine/>
    <w:qFormat/>
    <w:uiPriority w:val="0"/>
    <w:pPr>
      <w:adjustRightInd w:val="0"/>
      <w:snapToGrid w:val="0"/>
      <w:spacing w:after="120" w:line="360" w:lineRule="auto"/>
    </w:pPr>
    <w:rPr>
      <w:sz w:val="16"/>
    </w:rPr>
  </w:style>
  <w:style w:type="paragraph" w:styleId="23">
    <w:name w:val="List Bullet 3"/>
    <w:basedOn w:val="1"/>
    <w:autoRedefine/>
    <w:qFormat/>
    <w:uiPriority w:val="0"/>
    <w:pPr>
      <w:numPr>
        <w:ilvl w:val="0"/>
        <w:numId w:val="2"/>
      </w:numPr>
      <w:adjustRightInd w:val="0"/>
      <w:snapToGrid w:val="0"/>
      <w:spacing w:line="360" w:lineRule="auto"/>
    </w:pPr>
    <w:rPr>
      <w:sz w:val="24"/>
    </w:rPr>
  </w:style>
  <w:style w:type="paragraph" w:styleId="24">
    <w:name w:val="Body Text"/>
    <w:basedOn w:val="1"/>
    <w:next w:val="1"/>
    <w:link w:val="255"/>
    <w:autoRedefine/>
    <w:qFormat/>
    <w:uiPriority w:val="0"/>
    <w:rPr>
      <w:rFonts w:ascii="仿宋_GB2312" w:eastAsia="仿宋_GB2312"/>
      <w:sz w:val="32"/>
    </w:rPr>
  </w:style>
  <w:style w:type="paragraph" w:styleId="25">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6">
    <w:name w:val="List 2"/>
    <w:basedOn w:val="1"/>
    <w:autoRedefine/>
    <w:qFormat/>
    <w:uiPriority w:val="0"/>
    <w:pPr>
      <w:adjustRightInd w:val="0"/>
      <w:snapToGrid w:val="0"/>
      <w:spacing w:line="360" w:lineRule="auto"/>
      <w:ind w:left="100" w:leftChars="200" w:hanging="200" w:hangingChars="200"/>
    </w:pPr>
    <w:rPr>
      <w:sz w:val="24"/>
    </w:rPr>
  </w:style>
  <w:style w:type="paragraph" w:styleId="27">
    <w:name w:val="List Continue"/>
    <w:basedOn w:val="1"/>
    <w:autoRedefine/>
    <w:qFormat/>
    <w:uiPriority w:val="0"/>
    <w:pPr>
      <w:adjustRightInd w:val="0"/>
      <w:snapToGrid w:val="0"/>
      <w:spacing w:after="120" w:line="360" w:lineRule="auto"/>
      <w:ind w:left="420" w:leftChars="200"/>
    </w:pPr>
    <w:rPr>
      <w:sz w:val="24"/>
    </w:rPr>
  </w:style>
  <w:style w:type="paragraph" w:styleId="28">
    <w:name w:val="List Bullet 2"/>
    <w:basedOn w:val="1"/>
    <w:autoRedefine/>
    <w:qFormat/>
    <w:uiPriority w:val="0"/>
    <w:pPr>
      <w:numPr>
        <w:ilvl w:val="0"/>
        <w:numId w:val="3"/>
      </w:numPr>
      <w:adjustRightInd w:val="0"/>
      <w:snapToGrid w:val="0"/>
      <w:spacing w:line="360" w:lineRule="auto"/>
    </w:pPr>
    <w:rPr>
      <w:sz w:val="24"/>
    </w:rPr>
  </w:style>
  <w:style w:type="paragraph" w:styleId="29">
    <w:name w:val="toc 5"/>
    <w:basedOn w:val="1"/>
    <w:next w:val="1"/>
    <w:autoRedefine/>
    <w:qFormat/>
    <w:uiPriority w:val="0"/>
    <w:pPr>
      <w:ind w:left="1680" w:leftChars="800"/>
    </w:pPr>
  </w:style>
  <w:style w:type="paragraph" w:styleId="30">
    <w:name w:val="toc 3"/>
    <w:basedOn w:val="1"/>
    <w:next w:val="1"/>
    <w:autoRedefine/>
    <w:qFormat/>
    <w:uiPriority w:val="39"/>
    <w:pPr>
      <w:ind w:left="840" w:leftChars="400"/>
    </w:pPr>
  </w:style>
  <w:style w:type="paragraph" w:styleId="31">
    <w:name w:val="Plain Text"/>
    <w:basedOn w:val="1"/>
    <w:link w:val="89"/>
    <w:autoRedefine/>
    <w:qFormat/>
    <w:uiPriority w:val="0"/>
    <w:rPr>
      <w:rFonts w:ascii="宋体" w:hAnsi="Courier New"/>
    </w:rPr>
  </w:style>
  <w:style w:type="paragraph" w:styleId="32">
    <w:name w:val="toc 8"/>
    <w:basedOn w:val="1"/>
    <w:next w:val="1"/>
    <w:autoRedefine/>
    <w:qFormat/>
    <w:uiPriority w:val="0"/>
    <w:pPr>
      <w:ind w:left="2940" w:leftChars="1400"/>
    </w:pPr>
  </w:style>
  <w:style w:type="paragraph" w:styleId="33">
    <w:name w:val="Date"/>
    <w:basedOn w:val="1"/>
    <w:next w:val="1"/>
    <w:link w:val="109"/>
    <w:autoRedefine/>
    <w:qFormat/>
    <w:uiPriority w:val="99"/>
  </w:style>
  <w:style w:type="paragraph" w:styleId="34">
    <w:name w:val="Body Text Indent 2"/>
    <w:basedOn w:val="1"/>
    <w:link w:val="71"/>
    <w:autoRedefine/>
    <w:qFormat/>
    <w:uiPriority w:val="0"/>
    <w:pPr>
      <w:snapToGrid w:val="0"/>
      <w:spacing w:line="560" w:lineRule="atLeast"/>
      <w:ind w:firstLine="540"/>
    </w:pPr>
  </w:style>
  <w:style w:type="paragraph" w:styleId="35">
    <w:name w:val="Balloon Text"/>
    <w:basedOn w:val="1"/>
    <w:autoRedefine/>
    <w:qFormat/>
    <w:uiPriority w:val="0"/>
    <w:rPr>
      <w:sz w:val="18"/>
    </w:rPr>
  </w:style>
  <w:style w:type="paragraph" w:styleId="36">
    <w:name w:val="footer"/>
    <w:basedOn w:val="1"/>
    <w:link w:val="85"/>
    <w:autoRedefine/>
    <w:qFormat/>
    <w:uiPriority w:val="0"/>
    <w:pPr>
      <w:tabs>
        <w:tab w:val="center" w:pos="4153"/>
        <w:tab w:val="right" w:pos="8306"/>
      </w:tabs>
      <w:snapToGrid w:val="0"/>
      <w:jc w:val="left"/>
    </w:pPr>
    <w:rPr>
      <w:sz w:val="18"/>
    </w:rPr>
  </w:style>
  <w:style w:type="paragraph" w:styleId="37">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autoRedefine/>
    <w:qFormat/>
    <w:uiPriority w:val="0"/>
    <w:pPr>
      <w:spacing w:line="180" w:lineRule="auto"/>
      <w:jc w:val="center"/>
    </w:pPr>
    <w:rPr>
      <w:sz w:val="30"/>
    </w:rPr>
  </w:style>
  <w:style w:type="paragraph" w:styleId="39">
    <w:name w:val="List Continue 4"/>
    <w:basedOn w:val="1"/>
    <w:autoRedefine/>
    <w:qFormat/>
    <w:uiPriority w:val="0"/>
    <w:pPr>
      <w:adjustRightInd w:val="0"/>
      <w:snapToGrid w:val="0"/>
      <w:spacing w:after="120" w:line="360" w:lineRule="auto"/>
      <w:ind w:left="1680" w:leftChars="800"/>
    </w:pPr>
    <w:rPr>
      <w:sz w:val="24"/>
    </w:rPr>
  </w:style>
  <w:style w:type="paragraph" w:styleId="40">
    <w:name w:val="toc 4"/>
    <w:basedOn w:val="1"/>
    <w:next w:val="1"/>
    <w:autoRedefine/>
    <w:qFormat/>
    <w:uiPriority w:val="0"/>
    <w:pPr>
      <w:ind w:left="1260" w:leftChars="600"/>
    </w:pPr>
  </w:style>
  <w:style w:type="paragraph" w:styleId="41">
    <w:name w:val="footnote text"/>
    <w:basedOn w:val="1"/>
    <w:link w:val="69"/>
    <w:autoRedefine/>
    <w:qFormat/>
    <w:uiPriority w:val="0"/>
    <w:pPr>
      <w:spacing w:line="360" w:lineRule="auto"/>
    </w:pPr>
    <w:rPr>
      <w:sz w:val="18"/>
    </w:rPr>
  </w:style>
  <w:style w:type="paragraph" w:styleId="42">
    <w:name w:val="toc 6"/>
    <w:basedOn w:val="1"/>
    <w:next w:val="1"/>
    <w:autoRedefine/>
    <w:qFormat/>
    <w:uiPriority w:val="0"/>
    <w:pPr>
      <w:ind w:left="2100" w:leftChars="1000"/>
    </w:pPr>
  </w:style>
  <w:style w:type="paragraph" w:styleId="43">
    <w:name w:val="List 5"/>
    <w:basedOn w:val="1"/>
    <w:autoRedefine/>
    <w:qFormat/>
    <w:uiPriority w:val="0"/>
    <w:pPr>
      <w:adjustRightInd w:val="0"/>
      <w:snapToGrid w:val="0"/>
      <w:spacing w:line="360" w:lineRule="auto"/>
      <w:ind w:left="100" w:leftChars="800" w:hanging="200" w:hangingChars="200"/>
    </w:pPr>
    <w:rPr>
      <w:sz w:val="24"/>
    </w:rPr>
  </w:style>
  <w:style w:type="paragraph" w:styleId="44">
    <w:name w:val="Body Text Indent 3"/>
    <w:basedOn w:val="1"/>
    <w:autoRedefine/>
    <w:qFormat/>
    <w:uiPriority w:val="0"/>
    <w:pPr>
      <w:spacing w:line="360" w:lineRule="auto"/>
      <w:ind w:firstLine="632"/>
    </w:pPr>
    <w:rPr>
      <w:rFonts w:ascii="黑体" w:eastAsia="黑体"/>
    </w:rPr>
  </w:style>
  <w:style w:type="paragraph" w:styleId="45">
    <w:name w:val="table of figures"/>
    <w:basedOn w:val="1"/>
    <w:next w:val="1"/>
    <w:autoRedefine/>
    <w:qFormat/>
    <w:uiPriority w:val="0"/>
    <w:pPr>
      <w:tabs>
        <w:tab w:val="right" w:leader="dot" w:pos="8640"/>
      </w:tabs>
      <w:spacing w:line="360" w:lineRule="auto"/>
      <w:ind w:left="400" w:hanging="400"/>
    </w:pPr>
    <w:rPr>
      <w:sz w:val="24"/>
    </w:rPr>
  </w:style>
  <w:style w:type="paragraph" w:styleId="46">
    <w:name w:val="toc 2"/>
    <w:basedOn w:val="1"/>
    <w:next w:val="1"/>
    <w:autoRedefine/>
    <w:qFormat/>
    <w:uiPriority w:val="39"/>
    <w:pPr>
      <w:ind w:left="420" w:leftChars="200"/>
    </w:pPr>
  </w:style>
  <w:style w:type="paragraph" w:styleId="47">
    <w:name w:val="toc 9"/>
    <w:basedOn w:val="1"/>
    <w:next w:val="1"/>
    <w:autoRedefine/>
    <w:qFormat/>
    <w:uiPriority w:val="0"/>
    <w:pPr>
      <w:ind w:left="3360" w:leftChars="1600"/>
    </w:pPr>
  </w:style>
  <w:style w:type="paragraph" w:styleId="48">
    <w:name w:val="Body Text 2"/>
    <w:basedOn w:val="1"/>
    <w:autoRedefine/>
    <w:qFormat/>
    <w:uiPriority w:val="0"/>
    <w:pPr>
      <w:adjustRightInd w:val="0"/>
      <w:snapToGrid w:val="0"/>
      <w:spacing w:after="120" w:line="480" w:lineRule="auto"/>
    </w:pPr>
    <w:rPr>
      <w:sz w:val="24"/>
    </w:rPr>
  </w:style>
  <w:style w:type="paragraph" w:styleId="49">
    <w:name w:val="List 4"/>
    <w:basedOn w:val="1"/>
    <w:autoRedefine/>
    <w:qFormat/>
    <w:uiPriority w:val="0"/>
    <w:pPr>
      <w:adjustRightInd w:val="0"/>
      <w:snapToGrid w:val="0"/>
      <w:spacing w:line="360" w:lineRule="auto"/>
      <w:ind w:left="100" w:leftChars="600" w:hanging="200" w:hangingChars="200"/>
    </w:pPr>
    <w:rPr>
      <w:sz w:val="24"/>
    </w:rPr>
  </w:style>
  <w:style w:type="paragraph" w:styleId="50">
    <w:name w:val="List Continue 2"/>
    <w:basedOn w:val="1"/>
    <w:autoRedefine/>
    <w:qFormat/>
    <w:uiPriority w:val="0"/>
    <w:pPr>
      <w:adjustRightInd w:val="0"/>
      <w:snapToGrid w:val="0"/>
      <w:spacing w:after="120" w:line="360" w:lineRule="auto"/>
      <w:ind w:left="840" w:leftChars="400"/>
    </w:pPr>
    <w:rPr>
      <w:sz w:val="24"/>
    </w:rPr>
  </w:style>
  <w:style w:type="paragraph" w:styleId="5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2">
    <w:name w:val="List Continue 3"/>
    <w:basedOn w:val="1"/>
    <w:autoRedefine/>
    <w:qFormat/>
    <w:uiPriority w:val="0"/>
    <w:pPr>
      <w:adjustRightInd w:val="0"/>
      <w:snapToGrid w:val="0"/>
      <w:spacing w:after="120" w:line="360" w:lineRule="auto"/>
      <w:ind w:left="1260" w:leftChars="600"/>
    </w:pPr>
    <w:rPr>
      <w:sz w:val="24"/>
    </w:rPr>
  </w:style>
  <w:style w:type="paragraph" w:styleId="53">
    <w:name w:val="index 1"/>
    <w:basedOn w:val="1"/>
    <w:next w:val="1"/>
    <w:autoRedefine/>
    <w:qFormat/>
    <w:uiPriority w:val="0"/>
    <w:pPr>
      <w:adjustRightInd w:val="0"/>
      <w:spacing w:line="240" w:lineRule="atLeast"/>
      <w:textAlignment w:val="baseline"/>
    </w:pPr>
    <w:rPr>
      <w:rFonts w:ascii="宋体"/>
      <w:kern w:val="0"/>
    </w:rPr>
  </w:style>
  <w:style w:type="paragraph" w:styleId="54">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4"/>
    <w:autoRedefine/>
    <w:qFormat/>
    <w:uiPriority w:val="0"/>
    <w:pPr>
      <w:adjustRightInd/>
      <w:spacing w:line="240" w:lineRule="auto"/>
      <w:textAlignment w:val="auto"/>
    </w:pPr>
  </w:style>
  <w:style w:type="paragraph" w:styleId="56">
    <w:name w:val="Body Text First Indent"/>
    <w:basedOn w:val="24"/>
    <w:autoRedefine/>
    <w:qFormat/>
    <w:uiPriority w:val="0"/>
    <w:pPr>
      <w:spacing w:line="360" w:lineRule="auto"/>
      <w:ind w:firstLine="420"/>
    </w:pPr>
    <w:rPr>
      <w:rFonts w:ascii="宋体" w:hAnsi="宋体"/>
      <w:sz w:val="24"/>
    </w:r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Char"/>
    <w:link w:val="41"/>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Char"/>
    <w:link w:val="34"/>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Char"/>
    <w:basedOn w:val="75"/>
    <w:link w:val="55"/>
    <w:autoRedefine/>
    <w:qFormat/>
    <w:uiPriority w:val="0"/>
    <w:rPr>
      <w:sz w:val="24"/>
    </w:rPr>
  </w:style>
  <w:style w:type="character" w:customStyle="1" w:styleId="75">
    <w:name w:val="批注文字 Char"/>
    <w:link w:val="21"/>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首行缩进 2 Char"/>
    <w:basedOn w:val="82"/>
    <w:link w:val="2"/>
    <w:autoRedefine/>
    <w:qFormat/>
    <w:uiPriority w:val="0"/>
    <w:rPr>
      <w:kern w:val="2"/>
      <w:sz w:val="44"/>
    </w:rPr>
  </w:style>
  <w:style w:type="character" w:customStyle="1" w:styleId="82">
    <w:name w:val="正文文本缩进 Char"/>
    <w:link w:val="3"/>
    <w:autoRedefine/>
    <w:qFormat/>
    <w:uiPriority w:val="0"/>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Char"/>
    <w:link w:val="36"/>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Char"/>
    <w:link w:val="31"/>
    <w:autoRedefine/>
    <w:qFormat/>
    <w:locked/>
    <w:uiPriority w:val="0"/>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5"/>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Char"/>
    <w:link w:val="6"/>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0"/>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Char"/>
    <w:link w:val="33"/>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7"/>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9"/>
    <w:autoRedefine/>
    <w:qFormat/>
    <w:uiPriority w:val="0"/>
    <w:rPr>
      <w:rFonts w:ascii="Tahoma" w:hAnsi="Tahoma"/>
      <w:sz w:val="24"/>
    </w:rPr>
  </w:style>
  <w:style w:type="paragraph" w:customStyle="1" w:styleId="12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4"/>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4"/>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4"/>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1"/>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4"/>
    <w:next w:val="4"/>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8"/>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4"/>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9"/>
    <w:autoRedefine/>
    <w:qFormat/>
    <w:uiPriority w:val="0"/>
    <w:pPr>
      <w:widowControl/>
      <w:adjustRightInd/>
      <w:snapToGrid/>
      <w:spacing w:beforeLines="50"/>
      <w:jc w:val="left"/>
    </w:pPr>
    <w:rPr>
      <w:snapToGrid w:val="0"/>
      <w:kern w:val="24"/>
      <w:sz w:val="28"/>
    </w:rPr>
  </w:style>
  <w:style w:type="paragraph" w:customStyle="1" w:styleId="169">
    <w:name w:val="1"/>
    <w:basedOn w:val="1"/>
    <w:next w:val="31"/>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7"/>
    <w:autoRedefine/>
    <w:qFormat/>
    <w:uiPriority w:val="0"/>
    <w:pPr>
      <w:ind w:firstLine="48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7"/>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6"/>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7"/>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4"/>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4"/>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5"/>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5"/>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4"/>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9"/>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7"/>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6"/>
    <w:next w:val="56"/>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4"/>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character" w:customStyle="1" w:styleId="254">
    <w:name w:val="fontstyle01"/>
    <w:basedOn w:val="59"/>
    <w:autoRedefine/>
    <w:qFormat/>
    <w:uiPriority w:val="0"/>
    <w:rPr>
      <w:rFonts w:hint="default" w:ascii="Arial Unicode MS" w:hAnsi="Arial Unicode MS"/>
      <w:color w:val="000000"/>
      <w:sz w:val="28"/>
      <w:szCs w:val="28"/>
    </w:rPr>
  </w:style>
  <w:style w:type="character" w:customStyle="1" w:styleId="255">
    <w:name w:val="正文文本 Char"/>
    <w:basedOn w:val="59"/>
    <w:link w:val="24"/>
    <w:autoRedefine/>
    <w:qFormat/>
    <w:uiPriority w:val="0"/>
    <w:rPr>
      <w:rFonts w:ascii="仿宋_GB2312" w:hAnsi="Calibri" w:eastAsia="仿宋_GB2312"/>
      <w:kern w:val="2"/>
      <w:sz w:val="32"/>
      <w:szCs w:val="21"/>
    </w:rPr>
  </w:style>
  <w:style w:type="paragraph" w:styleId="256">
    <w:name w:val="Quote"/>
    <w:next w:val="1"/>
    <w:link w:val="257"/>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7">
    <w:name w:val="引用 Char"/>
    <w:basedOn w:val="59"/>
    <w:link w:val="256"/>
    <w:autoRedefine/>
    <w:qFormat/>
    <w:uiPriority w:val="0"/>
    <w:rPr>
      <w:i/>
      <w:sz w:val="21"/>
    </w:rPr>
  </w:style>
  <w:style w:type="paragraph" w:styleId="258">
    <w:name w:val="List Paragraph"/>
    <w:basedOn w:val="1"/>
    <w:autoRedefine/>
    <w:unhideWhenUsed/>
    <w:qFormat/>
    <w:uiPriority w:val="99"/>
    <w:pPr>
      <w:ind w:firstLine="420" w:firstLineChars="200"/>
    </w:pPr>
  </w:style>
  <w:style w:type="paragraph" w:customStyle="1" w:styleId="259">
    <w:name w:val="目录 53"/>
    <w:next w:val="1"/>
    <w:autoRedefine/>
    <w:qFormat/>
    <w:uiPriority w:val="0"/>
    <w:pPr>
      <w:wordWrap w:val="0"/>
      <w:ind w:left="1275"/>
      <w:jc w:val="both"/>
    </w:pPr>
    <w:rPr>
      <w:rFonts w:ascii="Calibri"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1081</Words>
  <Characters>6162</Characters>
  <Lines>51</Lines>
  <Paragraphs>14</Paragraphs>
  <TotalTime>18</TotalTime>
  <ScaleCrop>false</ScaleCrop>
  <LinksUpToDate>false</LinksUpToDate>
  <CharactersWithSpaces>7229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2024-01-03T09:38:00Z</dcterms:created>
  <dc:creator>Administrator.DESKTOP-5HCCS7Q</dc:creator>
  <cp:lastModifiedBy>妮儿</cp:lastModifiedBy>
  <cp:lastPrinted>2018-08-06T16:28:00Z</cp:lastPrinted>
  <dcterms:modified xsi:type="dcterms:W3CDTF">2024-01-08T09:58:55Z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AFA4E6FF7CDB47C089112124A9888169_13</vt:lpwstr>
  </property>
</Properties>
</file>